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rPr>
          <w:b/>
          <w:i/>
        </w:rPr>
      </w:pPr>
      <w:r>
        <w:rPr>
          <w:b/>
          <w:i/>
        </w:rPr>
      </w:r>
    </w:p>
    <w:p>
      <w:pPr>
        <w:pStyle w:val="Normal"/>
        <w:rPr>
          <w:b/>
          <w:i/>
        </w:rPr>
      </w:pPr>
      <w:r>
        <w:rPr>
          <w:b/>
          <w:i/>
        </w:rPr>
      </w:r>
    </w:p>
    <w:tbl>
      <w:tblPr>
        <w:tblW w:w="9092" w:type="dxa"/>
        <w:jc w:val="start"/>
        <w:tblInd w:w="70" w:type="dxa"/>
        <w:tblLayout w:type="fixed"/>
        <w:tblCellMar>
          <w:top w:w="0" w:type="dxa"/>
          <w:start w:w="70" w:type="dxa"/>
          <w:bottom w:w="0" w:type="dxa"/>
          <w:end w:w="70" w:type="dxa"/>
        </w:tblCellMar>
      </w:tblPr>
      <w:tblGrid>
        <w:gridCol w:w="4395"/>
        <w:gridCol w:w="4697"/>
      </w:tblGrid>
      <w:tr>
        <w:trPr/>
        <w:tc>
          <w:tcPr>
            <w:tcW w:w="4395" w:type="dxa"/>
            <w:tcBorders>
              <w:top w:val="single" w:sz="4" w:space="0" w:color="000000"/>
              <w:start w:val="single" w:sz="4" w:space="0" w:color="000000"/>
              <w:bottom w:val="single" w:sz="4" w:space="0" w:color="000000"/>
            </w:tcBorders>
          </w:tcPr>
          <w:p>
            <w:pPr>
              <w:pStyle w:val="Normal"/>
              <w:snapToGrid w:val="false"/>
              <w:rPr/>
            </w:pPr>
            <w:r>
              <w:rPr/>
            </w:r>
          </w:p>
          <w:p>
            <w:pPr>
              <w:pStyle w:val="Normal"/>
              <w:rPr/>
            </w:pPr>
            <w:r>
              <w:rPr/>
            </w:r>
          </w:p>
          <w:p>
            <w:pPr>
              <w:pStyle w:val="Normal"/>
              <w:jc w:val="center"/>
              <w:rPr>
                <w:b/>
              </w:rPr>
            </w:pPr>
            <w:r>
              <w:rPr/>
            </w:r>
            <w:r>
              <w:drawing>
                <wp:inline xmlns:a="http://schemas.openxmlformats.org/drawingml/2006/main">
                  <wp:extent cx="2072229" cy="801370"/>
                  <wp:docPr id="1" name="Picture 1"/>
                  <wp:cNvGraphicFramePr>
                    <a:graphicFrameLocks noChangeAspect="1"/>
                  </wp:cNvGraphicFramePr>
                  <a:graphic>
                    <a:graphicData uri="http://schemas.openxmlformats.org/drawingml/2006/picture">
                      <pic:pic>
                        <pic:nvPicPr>
                          <pic:cNvPr id="0" name="logo-aubervilliers.png"/>
                          <pic:cNvPicPr/>
                        </pic:nvPicPr>
                        <pic:blipFill>
                          <a:blip r:embed="rId4"/>
                          <a:stretch>
                            <a:fillRect/>
                          </a:stretch>
                        </pic:blipFill>
                        <pic:spPr>
                          <a:xfrm>
                            <a:off x="0" y="0"/>
                            <a:ext cx="2072229" cy="801370"/>
                          </a:xfrm>
                          <a:prstGeom prst="rect"/>
                        </pic:spPr>
                      </pic:pic>
                    </a:graphicData>
                  </a:graphic>
                </wp:inline>
              </w:drawing>
            </w:r>
          </w:p>
        </w:tc>
        <w:tc>
          <w:tcPr>
            <w:tcW w:w="4697" w:type="dxa"/>
            <w:tcBorders>
              <w:top w:val="single" w:sz="4" w:space="0" w:color="000000"/>
              <w:bottom w:val="single" w:sz="4" w:space="0" w:color="000000"/>
              <w:end w:val="single" w:sz="4" w:space="0" w:color="000000"/>
            </w:tcBorders>
          </w:tcPr>
          <w:p>
            <w:pPr>
              <w:pStyle w:val="Normal"/>
              <w:snapToGrid w:val="false"/>
              <w:rPr>
                <w:b/>
              </w:rPr>
            </w:pPr>
            <w:r>
              <w:rPr>
                <w:b/>
              </w:rPr>
            </w:r>
          </w:p>
          <w:p>
            <w:pPr>
              <w:pStyle w:val="Normal"/>
              <w:rPr>
                <w:b/>
              </w:rPr>
            </w:pPr>
            <w:r>
              <w:rPr>
                <w:b/>
              </w:rPr>
            </w:r>
          </w:p>
          <w:p>
            <w:pPr>
              <w:pStyle w:val="Normal"/>
              <w:jc w:val="center"/>
              <w:rPr>
                <w:b/>
                <w:bCs/>
              </w:rPr>
            </w:pPr>
            <w:r>
              <w:rPr>
                <w:b/>
                <w:bCs/>
              </w:rPr>
              <w:t>Ville d’Aubervilliers</w:t>
            </w:r>
          </w:p>
          <w:p>
            <w:pPr>
              <w:pStyle w:val="Normal"/>
              <w:jc w:val="center"/>
              <w:rPr>
                <w:b/>
                <w:bCs/>
              </w:rPr>
            </w:pPr>
            <w:r>
              <w:rPr>
                <w:b/>
                <w:bCs/>
              </w:rPr>
            </w:r>
          </w:p>
          <w:p>
            <w:pPr>
              <w:pStyle w:val="Normal"/>
              <w:jc w:val="center"/>
              <w:rPr>
                <w:b/>
                <w:bCs/>
              </w:rPr>
            </w:pPr>
            <w:r>
              <w:rPr>
                <w:b/>
                <w:bCs/>
              </w:rPr>
              <w:t>72 rue Henri Barbusse</w:t>
            </w:r>
          </w:p>
          <w:p>
            <w:pPr>
              <w:pStyle w:val="Normal"/>
              <w:jc w:val="center"/>
              <w:rPr>
                <w:b/>
                <w:bCs/>
              </w:rPr>
            </w:pPr>
            <w:r>
              <w:rPr>
                <w:b/>
                <w:bCs/>
              </w:rPr>
            </w:r>
          </w:p>
          <w:p>
            <w:pPr>
              <w:pStyle w:val="Normal"/>
              <w:jc w:val="center"/>
              <w:rPr>
                <w:b/>
                <w:bCs/>
              </w:rPr>
            </w:pPr>
            <w:r>
              <w:rPr>
                <w:b/>
                <w:bCs/>
                <w:szCs w:val="22"/>
              </w:rPr>
              <w:t>93308 AUBERVILLIERS Cedex</w:t>
            </w:r>
          </w:p>
          <w:p>
            <w:pPr>
              <w:pStyle w:val="Normal"/>
              <w:jc w:val="center"/>
              <w:rPr>
                <w:b/>
                <w:bCs/>
              </w:rPr>
            </w:pPr>
            <w:r>
              <w:rPr>
                <w:b/>
                <w:bCs/>
              </w:rPr>
            </w:r>
          </w:p>
          <w:p>
            <w:pPr>
              <w:pStyle w:val="Normal"/>
              <w:jc w:val="center"/>
              <w:rPr>
                <w:b/>
                <w:sz w:val="22"/>
              </w:rPr>
            </w:pPr>
            <w:r>
              <w:rPr>
                <w:b/>
                <w:bCs/>
              </w:rPr>
              <w:t>Tél. : 01.48.39.52.00 – Fax : 01.48.39.51.85</w:t>
            </w:r>
          </w:p>
          <w:p>
            <w:pPr>
              <w:pStyle w:val="Normal"/>
              <w:jc w:val="center"/>
              <w:rPr>
                <w:b/>
                <w:sz w:val="22"/>
              </w:rPr>
            </w:pPr>
            <w:r>
              <w:rPr>
                <w:b/>
                <w:sz w:val="22"/>
              </w:rPr>
            </w:r>
          </w:p>
        </w:tc>
      </w:tr>
    </w:tbl>
    <w:p>
      <w:pPr>
        <w:pStyle w:val="Normal"/>
        <w:rPr/>
      </w:pPr>
      <w:r>
        <w:rPr/>
      </w:r>
    </w:p>
    <w:p>
      <w:pPr>
        <w:pStyle w:val="Normal"/>
        <w:rPr>
          <w:sz w:val="20"/>
          <w:szCs w:val="20"/>
        </w:rPr>
      </w:pPr>
      <w:r>
        <w:rPr>
          <w:sz w:val="20"/>
          <w:szCs w:val="20"/>
        </w:rPr>
      </w:r>
    </w:p>
    <w:p>
      <w:pPr>
        <w:pStyle w:val="Normal"/>
        <w:rPr>
          <w:sz w:val="20"/>
          <w:szCs w:val="20"/>
        </w:rPr>
      </w:pPr>
      <w:r>
        <w:rPr>
          <w:sz w:val="20"/>
          <w:szCs w:val="20"/>
        </w:rPr>
      </w:r>
    </w:p>
    <w:p>
      <w:pPr>
        <w:pStyle w:val="Normal"/>
        <w:numPr>
          <w:ilvl w:val="0"/>
          <w:numId w:val="1"/>
        </w:numPr>
        <w:tabs>
          <w:tab w:val="clear" w:pos="709"/>
        </w:tabs>
        <w:suppressAutoHyphens w:val="false"/>
        <w:spacing w:before="240" w:after="60"/>
        <w:ind w:hanging="0" w:start="0" w:end="0"/>
        <w:jc w:val="center"/>
        <w:outlineLvl w:val="4"/>
        <w:rPr>
          <w:b/>
          <w:bCs/>
          <w:color w:val="000000"/>
          <w:sz w:val="28"/>
          <w:szCs w:val="28"/>
          <w:u w:val="single"/>
          <w:lang w:eastAsia="fr-FR"/>
        </w:rPr>
      </w:pPr>
      <w:r>
        <w:rPr>
          <w:b/>
          <w:bCs/>
          <w:color w:val="000000"/>
          <w:sz w:val="28"/>
          <w:szCs w:val="28"/>
          <w:u w:val="single"/>
          <w:lang w:eastAsia="fr-FR"/>
        </w:rPr>
        <w:t>DMG-01-26</w:t>
      </w:r>
    </w:p>
    <w:p>
      <w:pPr>
        <w:pStyle w:val="Normal"/>
        <w:suppressAutoHyphens w:val="false"/>
        <w:rPr>
          <w:color w:val="000000"/>
          <w:szCs w:val="20"/>
          <w:u w:val="single"/>
          <w:lang w:eastAsia="fr-FR"/>
        </w:rPr>
      </w:pPr>
      <w:r>
        <w:rPr>
          <w:b/>
          <w:bCs/>
          <w:color w:val="000000"/>
          <w:sz w:val="28"/>
          <w:szCs w:val="20"/>
          <w:u w:val="single"/>
          <w:lang w:eastAsia="fr-FR"/>
        </w:rPr>
      </w:r>
    </w:p>
    <w:p>
      <w:pPr>
        <w:pStyle w:val="Normal"/>
        <w:suppressAutoHyphens w:val="false"/>
        <w:rPr>
          <w:color w:val="000000"/>
          <w:szCs w:val="20"/>
          <w:lang w:eastAsia="fr-FR"/>
        </w:rPr>
      </w:pPr>
      <w:r>
        <w:rPr>
          <w:color w:val="000000"/>
          <w:szCs w:val="20"/>
          <w:u w:val="single"/>
          <w:lang w:eastAsia="fr-FR"/>
        </w:rPr>
      </w:r>
    </w:p>
    <w:p>
      <w:pPr>
        <w:pStyle w:val="Normal"/>
        <w:suppressAutoHyphens w:val="false"/>
        <w:rPr>
          <w:color w:val="000000"/>
          <w:szCs w:val="20"/>
          <w:lang w:eastAsia="fr-FR"/>
        </w:rPr>
      </w:pPr>
      <w:r>
        <w:rPr>
          <w:color w:val="000000"/>
          <w:szCs w:val="20"/>
          <w:lang w:eastAsia="fr-FR"/>
        </w:rPr>
      </w:r>
    </w:p>
    <w:p>
      <w:pPr>
        <w:pStyle w:val="Normal"/>
        <w:pBdr>
          <w:top w:val="threeDEngrave" w:sz="24" w:space="31" w:color="000000"/>
          <w:left w:val="threeDEngrave" w:sz="24" w:space="4" w:color="000000"/>
          <w:bottom w:val="threeDEmboss" w:sz="24" w:space="0" w:color="000000"/>
          <w:right w:val="threeDEmboss" w:sz="24" w:space="4" w:color="000000"/>
        </w:pBdr>
        <w:shd w:fill="E6E6E6" w:val="clear"/>
        <w:suppressAutoHyphens w:val="false"/>
        <w:overflowPunct w:val="false"/>
        <w:autoSpaceDE w:val="false"/>
        <w:jc w:val="center"/>
        <w:rPr>
          <w:b/>
          <w:caps/>
          <w:sz w:val="28"/>
          <w:szCs w:val="20"/>
          <w:lang w:eastAsia="fr-FR"/>
        </w:rPr>
      </w:pPr>
      <w:r>
        <w:rPr>
          <w:b/>
          <w:caps/>
          <w:sz w:val="28"/>
          <w:szCs w:val="20"/>
          <w:lang w:eastAsia="fr-FR"/>
        </w:rPr>
        <w:t>Groupement de commandes entre la ville et le CCAS relatif au nettoyage des vitres des bâtiments communaux</w:t>
      </w:r>
    </w:p>
    <w:p>
      <w:pPr>
        <w:pStyle w:val="Normal"/>
        <w:pBdr>
          <w:top w:val="threeDEngrave" w:sz="24" w:space="31" w:color="000000"/>
          <w:left w:val="threeDEngrave" w:sz="24" w:space="4" w:color="000000"/>
          <w:bottom w:val="threeDEmboss" w:sz="24" w:space="0" w:color="000000"/>
          <w:right w:val="threeDEmboss" w:sz="24" w:space="4" w:color="000000"/>
        </w:pBdr>
        <w:shd w:fill="E6E6E6" w:val="clear"/>
        <w:suppressAutoHyphens w:val="false"/>
        <w:overflowPunct w:val="false"/>
        <w:autoSpaceDE w:val="false"/>
        <w:jc w:val="center"/>
        <w:rPr>
          <w:b/>
          <w:caps/>
          <w:sz w:val="28"/>
          <w:szCs w:val="20"/>
          <w:lang w:eastAsia="fr-FR"/>
        </w:rPr>
      </w:pPr>
      <w:r>
        <w:rPr>
          <w:b/>
          <w:caps/>
          <w:sz w:val="28"/>
          <w:szCs w:val="20"/>
          <w:lang w:eastAsia="fr-FR"/>
        </w:rPr>
      </w:r>
    </w:p>
    <w:p>
      <w:pPr>
        <w:pStyle w:val="Normal"/>
        <w:suppressAutoHyphens w:val="false"/>
        <w:overflowPunct w:val="false"/>
        <w:autoSpaceDE w:val="false"/>
        <w:jc w:val="both"/>
        <w:rPr>
          <w:szCs w:val="20"/>
          <w:lang w:eastAsia="fr-FR"/>
        </w:rPr>
      </w:pPr>
      <w:r>
        <w:rPr>
          <w:b/>
          <w:caps/>
          <w:sz w:val="28"/>
          <w:szCs w:val="20"/>
          <w:lang w:eastAsia="fr-FR"/>
        </w:rPr>
      </w:r>
    </w:p>
    <w:p>
      <w:pPr>
        <w:pStyle w:val="Normal"/>
        <w:rPr/>
      </w:pPr>
      <w:r>
        <w:rPr>
          <w:szCs w:val="20"/>
          <w:lang w:eastAsia="fr-FR"/>
        </w:rPr>
      </w:r>
    </w:p>
    <w:p>
      <w:pPr>
        <w:pStyle w:val="Normal"/>
        <w:rPr/>
      </w:pPr>
      <w:r>
        <w:rPr/>
      </w:r>
    </w:p>
    <w:p>
      <w:pPr>
        <w:pStyle w:val="Normal"/>
        <w:rPr/>
      </w:pPr>
      <w:r>
        <w:rPr/>
      </w:r>
    </w:p>
    <w:p>
      <w:pPr>
        <w:pStyle w:val="Normal"/>
        <w:rPr/>
      </w:pPr>
      <w:r>
        <w:rPr/>
      </w:r>
    </w:p>
    <w:p>
      <w:pPr>
        <w:pStyle w:val="Normal"/>
        <w:rPr>
          <w:sz w:val="20"/>
          <w:szCs w:val="20"/>
        </w:rPr>
      </w:pPr>
      <w:r>
        <w:rPr>
          <w:sz w:val="20"/>
          <w:szCs w:val="20"/>
        </w:rPr>
      </w:r>
    </w:p>
    <w:p>
      <w:pPr>
        <w:pStyle w:val="Heading2"/>
        <w:ind w:hanging="0" w:start="0"/>
        <w:jc w:val="center"/>
        <w:rPr>
          <w:bCs w:val="false"/>
          <w:sz w:val="20"/>
          <w:szCs w:val="20"/>
        </w:rPr>
      </w:pPr>
      <w:r>
        <w:rPr>
          <w:bCs w:val="false"/>
          <w:sz w:val="20"/>
          <w:szCs w:val="20"/>
        </w:rPr>
      </w:r>
    </w:p>
    <w:p>
      <w:pPr>
        <w:pStyle w:val="Normal"/>
        <w:rPr>
          <w:sz w:val="20"/>
          <w:szCs w:val="20"/>
        </w:rPr>
      </w:pPr>
      <w:r>
        <w:rPr>
          <w:bCs/>
          <w:sz w:val="20"/>
          <w:szCs w:val="20"/>
        </w:rPr>
      </w:r>
    </w:p>
    <w:p>
      <w:pPr>
        <w:pStyle w:val="Normal"/>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p>
      <w:pPr>
        <w:pStyle w:val="Normal"/>
        <w:rPr>
          <w:sz w:val="20"/>
          <w:szCs w:val="20"/>
        </w:rPr>
      </w:pPr>
      <w:r>
        <w:rPr>
          <w:sz w:val="20"/>
          <w:szCs w:val="20"/>
        </w:rPr>
      </w:r>
    </w:p>
    <w:p>
      <w:pPr>
        <w:pStyle w:val="Normal"/>
        <w:rPr/>
      </w:pPr>
      <w:r>
        <w:rPr>
          <w:sz w:val="20"/>
          <w:szCs w:val="20"/>
        </w:rPr>
      </w:r>
    </w:p>
    <w:p>
      <w:pPr>
        <w:pStyle w:val="Heading2"/>
        <w:ind w:hanging="0" w:start="0"/>
        <w:jc w:val="center"/>
        <w:rPr>
          <w:bCs w:val="false"/>
          <w:sz w:val="32"/>
        </w:rPr>
      </w:pPr>
      <w:r>
        <w:rPr>
          <w:bCs w:val="false"/>
          <w:sz w:val="32"/>
        </w:rPr>
        <w:t>Règlement de la consultation</w:t>
      </w:r>
    </w:p>
    <w:p>
      <w:pPr>
        <w:pStyle w:val="Heading2"/>
        <w:ind w:hanging="0" w:start="0"/>
        <w:jc w:val="center"/>
        <w:rPr/>
      </w:pPr>
      <w:r>
        <w:rPr>
          <w:bCs w:val="false"/>
          <w:sz w:val="32"/>
        </w:rPr>
        <w:t>(R.C.)</w:t>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keepNext/>
        <w:jc w:val="left"/>
      </w:pPr>
      <w:r>
        <w:rPr>
          <w:rFonts w:ascii="Times New Roman" w:hAnsi="Times New Roman" w:cs="Times New Roman"/>
          <w:b/>
          <w:bCs/>
          <w:color w:val="000000"/>
          <w:sz w:val="24"/>
          <w:szCs w:val="24"/>
          <w:u w:val="none"/>
        </w:rPr>
        <w:t xml:space="preserve">ARTICLE 1 – PRÉSENTATION DE L’ACCORD-CADRE</w:t>
      </w:r>
    </w:p>
    <w:p>
      <w:pPr>
        <w:pStyle w:val="Normal"/>
        <w:keepNext/>
        <w:jc w:val="both"/>
        <w:rPr>
          <w:b/>
          <w:sz w:val="22"/>
          <w:szCs w:val="22"/>
          <w:u w:val="single"/>
        </w:rPr>
      </w:pPr>
      <w:r>
        <w:rPr>
          <w:b/>
          <w:sz w:val="22"/>
          <w:szCs w:val="22"/>
          <w:u w:val="single"/>
        </w:rPr>
      </w:r>
    </w:p>
    <w:p>
      <w:pPr>
        <w:pStyle w:val="Normal"/>
        <w:keepNext/>
        <w:suppressAutoHyphens w:val="false"/>
        <w:jc w:val="left"/>
      </w:pPr>
      <w:r>
        <w:rPr>
          <w:rFonts w:ascii="Times New Roman" w:hAnsi="Times New Roman" w:cs="Times New Roman"/>
          <w:b/>
          <w:bCs/>
          <w:color w:val="000000"/>
          <w:sz w:val="24"/>
          <w:szCs w:val="24"/>
          <w:u w:val="none"/>
        </w:rPr>
        <w:t xml:space="preserve">1.1. Objet de l’accord-cadre</w:t>
      </w:r>
    </w:p>
    <w:p>
      <w:pPr>
        <w:pStyle w:val="Normal"/>
        <w:keepNext/>
        <w:jc w:val="both"/>
        <w:rPr>
          <w:b/>
          <w:sz w:val="22"/>
          <w:szCs w:val="22"/>
        </w:rPr>
      </w:pPr>
      <w:r>
        <w:rPr>
          <w:b/>
          <w:sz w:val="22"/>
          <w:szCs w:val="22"/>
        </w:rPr>
      </w:r>
    </w:p>
    <w:p>
      <w:pPr>
        <w:pStyle w:val="Normal"/>
        <w:jc w:val="both"/>
        <w:rPr>
          <w:sz w:val="22"/>
          <w:szCs w:val="22"/>
        </w:rPr>
      </w:pPr>
      <w:r>
        <w:rPr>
          <w:sz w:val="22"/>
          <w:szCs w:val="22"/>
        </w:rPr>
        <w:t xml:space="preserve">Le présent accord-cadre a pour objet les prestations de nettoyage des diverses surfaces vitrées des bâtiments communaux de la ville d’Aubervilliers figurant à l’annexe 1 au CCTP. </w:t>
      </w:r>
    </w:p>
    <w:p>
      <w:pPr>
        <w:pStyle w:val="Normal"/>
        <w:jc w:val="both"/>
        <w:rPr>
          <w:sz w:val="22"/>
          <w:szCs w:val="22"/>
        </w:rPr>
      </w:pPr>
      <w:r>
        <w:rPr>
          <w:sz w:val="22"/>
          <w:szCs w:val="22"/>
        </w:rPr>
        <w:t/>
      </w:r>
    </w:p>
    <w:p>
      <w:pPr>
        <w:pStyle w:val="Normal"/>
        <w:jc w:val="both"/>
        <w:rPr>
          <w:sz w:val="22"/>
          <w:szCs w:val="22"/>
        </w:rPr>
      </w:pPr>
      <w:r>
        <w:rPr>
          <w:sz w:val="22"/>
          <w:szCs w:val="22"/>
        </w:rPr>
        <w:t>La piscine Camille Muffat, dont l’entretien relève du marché SPORTS-01-24, n’est pas comprise dans le présent accord-cadre.</w:t>
      </w:r>
    </w:p>
    <w:p>
      <w:pPr>
        <w:pStyle w:val="Normal"/>
        <w:jc w:val="both"/>
        <w:rPr>
          <w:sz w:val="22"/>
          <w:szCs w:val="22"/>
        </w:rPr>
      </w:pPr>
      <w:r>
        <w:rPr>
          <w:sz w:val="22"/>
          <w:szCs w:val="22"/>
        </w:rPr>
      </w:r>
    </w:p>
    <w:p>
      <w:pPr>
        <w:pStyle w:val="Normal"/>
        <w:jc w:val="both"/>
        <w:rPr>
          <w:sz w:val="22"/>
          <w:szCs w:val="22"/>
        </w:rPr>
      </w:pPr>
      <w:r>
        <w:rPr>
          <w:sz w:val="22"/>
          <w:szCs w:val="22"/>
        </w:rPr>
        <w:t>L’étendue et le descriptif technique des prestations à exécuter figurent au Cahier des Clauses Techniques Particulières (C.C.T.P).</w:t>
      </w:r>
    </w:p>
    <w:p>
      <w:pPr>
        <w:pStyle w:val="Normal"/>
        <w:jc w:val="both"/>
        <w:rPr>
          <w:sz w:val="22"/>
          <w:szCs w:val="22"/>
        </w:rPr>
      </w:pPr>
      <w:r>
        <w:rPr>
          <w:sz w:val="22"/>
          <w:szCs w:val="22"/>
        </w:rPr>
      </w:r>
    </w:p>
    <w:p>
      <w:pPr>
        <w:pStyle w:val="Normal"/>
        <w:jc w:val="both"/>
        <w:rPr>
          <w:sz w:val="22"/>
          <w:szCs w:val="22"/>
        </w:rPr>
      </w:pPr>
      <w:r>
        <w:rPr>
          <w:sz w:val="22"/>
          <w:szCs w:val="22"/>
        </w:rPr>
        <w:t>Les bâtiments concernés par les prestations sont indiqués dans la liste annexée au C.C.T.P.</w:t>
      </w:r>
    </w:p>
    <w:p>
      <w:pPr>
        <w:pStyle w:val="Normal"/>
        <w:jc w:val="both"/>
        <w:rPr>
          <w:sz w:val="22"/>
          <w:szCs w:val="22"/>
        </w:rPr>
      </w:pPr>
      <w:r>
        <w:rPr>
          <w:sz w:val="22"/>
          <w:szCs w:val="22"/>
        </w:rPr>
        <w:t/>
      </w:r>
    </w:p>
    <w:p>
      <w:pPr>
        <w:pStyle w:val="Normal"/>
        <w:jc w:val="both"/>
        <w:rPr>
          <w:sz w:val="22"/>
          <w:szCs w:val="22"/>
        </w:rPr>
      </w:pPr>
      <w:r>
        <w:rPr>
          <w:sz w:val="22"/>
          <w:szCs w:val="22"/>
        </w:rPr>
        <w:t>Un plan de prévention est établi pour chaque site, dans les conditions de l’article 8.3 du CCTP et selon le modèle de son annexe 3.</w:t>
      </w:r>
    </w:p>
    <w:p>
      <w:pPr>
        <w:pStyle w:val="Normal"/>
        <w:jc w:val="both"/>
        <w:rPr>
          <w:sz w:val="22"/>
          <w:szCs w:val="22"/>
        </w:rPr>
      </w:pPr>
      <w:r>
        <w:rPr>
          <w:sz w:val="22"/>
          <w:szCs w:val="22"/>
        </w:rPr>
      </w:r>
    </w:p>
    <w:p>
      <w:pPr>
        <w:pStyle w:val="BodyText"/>
        <w:rPr>
          <w:b/>
          <w:bCs/>
          <w:sz w:val="22"/>
          <w:szCs w:val="22"/>
        </w:rPr>
      </w:pPr>
      <w:r>
        <w:rPr>
          <w:b/>
          <w:bCs/>
          <w:sz w:val="22"/>
          <w:szCs w:val="22"/>
        </w:rPr>
        <w:t xml:space="preserve">* </w:t>
      </w:r>
      <w:r>
        <w:rPr>
          <w:b/>
          <w:bCs/>
          <w:sz w:val="22"/>
          <w:szCs w:val="22"/>
          <w:u w:val="single"/>
        </w:rPr>
        <w:t>Lieu d’exécution</w:t>
      </w:r>
      <w:r>
        <w:rPr>
          <w:b/>
          <w:bCs/>
          <w:sz w:val="22"/>
          <w:szCs w:val="22"/>
        </w:rPr>
        <w:t> </w:t>
      </w:r>
      <w:r>
        <w:rPr>
          <w:sz w:val="22"/>
          <w:szCs w:val="22"/>
        </w:rPr>
        <w:t xml:space="preserve">: les bâtiments de la ville d’Aubervilliers et du CCAS figurant à l’annexe 1 au CCTP, à Aubervilliers et, pour l’École du plein air, à Piscop (Val-d’Oise).                                            </w:t>
      </w:r>
    </w:p>
    <w:p>
      <w:pPr>
        <w:pStyle w:val="Normal"/>
        <w:jc w:val="both"/>
        <w:rPr>
          <w:shadow/>
          <w:sz w:val="22"/>
          <w:szCs w:val="22"/>
        </w:rPr>
      </w:pPr>
      <w:r>
        <w:rPr>
          <w:b/>
          <w:bCs/>
          <w:shadow/>
          <w:sz w:val="22"/>
          <w:szCs w:val="22"/>
        </w:rPr>
      </w:r>
    </w:p>
    <w:p>
      <w:pPr>
        <w:pStyle w:val="Normal"/>
        <w:keepNext/>
        <w:tabs>
          <w:tab w:val="clear" w:pos="709"/>
          <w:tab w:val="left" w:pos="0" w:leader="none"/>
        </w:tabs>
        <w:ind w:hanging="576" w:start="576" w:end="0"/>
        <w:jc w:val="left"/>
        <w:outlineLvl w:val="1"/>
      </w:pPr>
      <w:r>
        <w:rPr>
          <w:rFonts w:ascii="Times New Roman" w:hAnsi="Times New Roman" w:cs="Times New Roman"/>
          <w:b/>
          <w:bCs/>
          <w:color w:val="000000"/>
          <w:sz w:val="24"/>
          <w:szCs w:val="24"/>
          <w:u w:val="none"/>
        </w:rPr>
        <w:t xml:space="preserve">1.2. Mode de passation de l’accord-cadre</w:t>
      </w:r>
    </w:p>
    <w:p>
      <w:pPr>
        <w:pStyle w:val="Normal"/>
        <w:keepNext/>
        <w:jc w:val="both"/>
        <w:rPr>
          <w:sz w:val="22"/>
          <w:szCs w:val="22"/>
        </w:rPr>
      </w:pPr>
      <w:r>
        <w:rPr>
          <w:b/>
          <w:bCs/>
          <w:sz w:val="22"/>
          <w:szCs w:val="22"/>
          <w:u w:val="single"/>
        </w:rPr>
      </w:r>
    </w:p>
    <w:p>
      <w:pPr>
        <w:pStyle w:val="Normal"/>
        <w:jc w:val="both"/>
        <w:rPr>
          <w:sz w:val="22"/>
          <w:szCs w:val="22"/>
        </w:rPr>
      </w:pPr>
      <w:r>
        <w:rPr>
          <w:bCs/>
          <w:iCs/>
          <w:sz w:val="22"/>
          <w:szCs w:val="22"/>
        </w:rPr>
        <w:t>Il s’agit d’un accord-cadre à prix mixtes passé sur appel d’offres ouvert, en application des articles L. 2124-2, R. 2124-2 1°, R. 2161-2 et R. 2161-3 du Code de la commande publique, par un groupement de commandes constitué en application des articles L. 2113-6 et suivants du même code. Il est conclu conformément à l’article L. 2125-1 1° du même code, qui en limite la durée à quatre ans, et sa partie à bons de commande conformément aux articles R. 2162-1 à R. 2162-6, R. 2162-13 et R. 2162-14.</w:t>
      </w:r>
    </w:p>
    <w:p>
      <w:pPr>
        <w:pStyle w:val="Normal"/>
        <w:overflowPunct w:val="false"/>
        <w:autoSpaceDE w:val="false"/>
        <w:jc w:val="both"/>
        <w:textAlignment w:val="baseline"/>
        <w:rPr>
          <w:sz w:val="22"/>
          <w:szCs w:val="22"/>
        </w:rPr>
      </w:pPr>
      <w:r>
        <w:rPr>
          <w:sz w:val="22"/>
          <w:szCs w:val="22"/>
        </w:rPr>
      </w:r>
    </w:p>
    <w:p>
      <w:pPr>
        <w:pStyle w:val="Normal"/>
        <w:overflowPunct w:val="false"/>
        <w:autoSpaceDE w:val="false"/>
        <w:jc w:val="both"/>
        <w:textAlignment w:val="baseline"/>
        <w:rPr>
          <w:color w:val="000000"/>
          <w:sz w:val="22"/>
          <w:szCs w:val="22"/>
        </w:rPr>
      </w:pPr>
      <w:r>
        <w:rPr>
          <w:color w:val="000000"/>
          <w:sz w:val="22"/>
          <w:szCs w:val="22"/>
        </w:rPr>
        <w:t xml:space="preserve">Il s’agit d’un </w:t>
      </w:r>
      <w:r>
        <w:rPr>
          <w:b/>
          <w:color w:val="000000"/>
          <w:sz w:val="22"/>
          <w:szCs w:val="22"/>
          <w:u w:val="single"/>
        </w:rPr>
        <w:t xml:space="preserve">accord-cadre de </w:t>
      </w:r>
      <w:r>
        <w:rPr>
          <w:b/>
          <w:sz w:val="22"/>
          <w:szCs w:val="22"/>
          <w:u w:val="single"/>
        </w:rPr>
        <w:t>service</w:t>
      </w:r>
      <w:r>
        <w:rPr>
          <w:color w:val="000000"/>
          <w:sz w:val="22"/>
          <w:szCs w:val="22"/>
        </w:rPr>
        <w:t>.</w:t>
      </w:r>
    </w:p>
    <w:p>
      <w:pPr>
        <w:pStyle w:val="Normal"/>
        <w:jc w:val="both"/>
        <w:rPr>
          <w:sz w:val="22"/>
          <w:szCs w:val="22"/>
        </w:rPr>
      </w:pPr>
      <w:r>
        <w:rPr>
          <w:bCs/>
          <w:iCs/>
          <w:sz w:val="22"/>
          <w:szCs w:val="22"/>
        </w:rPr>
        <w:t/>
      </w:r>
    </w:p>
    <w:p>
      <w:pPr>
        <w:pStyle w:val="Normal"/>
        <w:jc w:val="both"/>
        <w:rPr>
          <w:sz w:val="22"/>
          <w:szCs w:val="22"/>
        </w:rPr>
      </w:pPr>
      <w:r>
        <w:rPr>
          <w:bCs/>
          <w:iCs/>
          <w:sz w:val="22"/>
          <w:szCs w:val="22"/>
        </w:rPr>
        <w:t>Le groupement de commandes réunit la ville d’Aubervilliers et le centre communal d’action sociale (CCAS) d’Aubervilliers, par une convention signée de ses deux membres avant le lancement de la consultation.</w:t>
      </w:r>
    </w:p>
    <w:p>
      <w:pPr>
        <w:pStyle w:val="Normal"/>
        <w:jc w:val="both"/>
        <w:rPr>
          <w:sz w:val="22"/>
          <w:szCs w:val="22"/>
        </w:rPr>
      </w:pPr>
      <w:r>
        <w:rPr>
          <w:bCs/>
          <w:iCs/>
          <w:sz w:val="22"/>
          <w:szCs w:val="22"/>
        </w:rPr>
        <w:t/>
      </w:r>
    </w:p>
    <w:p>
      <w:pPr>
        <w:pStyle w:val="Normal"/>
        <w:jc w:val="both"/>
        <w:rPr>
          <w:sz w:val="22"/>
          <w:szCs w:val="22"/>
        </w:rPr>
      </w:pPr>
      <w:r>
        <w:rPr>
          <w:bCs/>
          <w:iCs/>
          <w:sz w:val="22"/>
          <w:szCs w:val="22"/>
        </w:rPr>
        <w:t>La Ville est le coordonnateur du groupement. Elle conduit la procédure de passation, et sa commission d’appel d’offres attribue l’accord-cadre.</w:t>
      </w:r>
    </w:p>
    <w:p>
      <w:pPr>
        <w:pStyle w:val="Normal"/>
        <w:jc w:val="both"/>
        <w:rPr>
          <w:sz w:val="22"/>
          <w:szCs w:val="22"/>
        </w:rPr>
      </w:pPr>
      <w:r>
        <w:rPr>
          <w:bCs/>
          <w:iCs/>
          <w:sz w:val="22"/>
          <w:szCs w:val="22"/>
        </w:rPr>
        <w:t/>
      </w:r>
    </w:p>
    <w:p>
      <w:pPr>
        <w:pStyle w:val="Normal"/>
        <w:jc w:val="both"/>
        <w:rPr>
          <w:sz w:val="22"/>
          <w:szCs w:val="22"/>
        </w:rPr>
      </w:pPr>
      <w:r>
        <w:rPr>
          <w:bCs/>
          <w:iCs/>
          <w:sz w:val="22"/>
          <w:szCs w:val="22"/>
        </w:rPr>
        <w:t>Chaque membre du groupement signe l’accord-cadre, émet ses bons de commande et paie les prestations exécutées pour sa part, c’est-à-dire pour les bâtiments que l’annexe 1 au CCTP lui attribue dans sa colonne « membre ».</w:t>
      </w:r>
    </w:p>
    <w:p>
      <w:pPr>
        <w:pStyle w:val="BodyText"/>
        <w:rPr>
          <w:sz w:val="22"/>
          <w:szCs w:val="22"/>
        </w:rPr>
      </w:pPr>
      <w:r>
        <w:rPr>
          <w:color w:val="000000"/>
          <w:sz w:val="22"/>
          <w:szCs w:val="22"/>
        </w:rPr>
      </w:r>
    </w:p>
    <w:p>
      <w:pPr>
        <w:pStyle w:val="Normal"/>
        <w:keepNext/>
        <w:jc w:val="left"/>
      </w:pPr>
      <w:r>
        <w:rPr>
          <w:rFonts w:ascii="Times New Roman" w:hAnsi="Times New Roman" w:cs="Times New Roman"/>
          <w:b/>
          <w:bCs/>
          <w:color w:val="000000"/>
          <w:sz w:val="24"/>
          <w:szCs w:val="24"/>
          <w:u w:val="none"/>
        </w:rPr>
        <w:t xml:space="preserve">1.3. Subdivision de l’accord-cadre en lots/tranches</w:t>
      </w:r>
    </w:p>
    <w:p>
      <w:pPr>
        <w:pStyle w:val="BodyText"/>
        <w:keepNext/>
        <w:rPr>
          <w:sz w:val="22"/>
          <w:szCs w:val="22"/>
        </w:rPr>
      </w:pPr>
      <w:r>
        <w:rPr>
          <w:sz w:val="22"/>
          <w:szCs w:val="22"/>
        </w:rPr>
        <w:t xml:space="preserve">  </w:t>
      </w:r>
    </w:p>
    <w:p>
      <w:pPr>
        <w:pStyle w:val="Normal"/>
        <w:jc w:val="both"/>
        <w:rPr>
          <w:sz w:val="22"/>
          <w:szCs w:val="22"/>
        </w:rPr>
      </w:pPr>
      <w:r>
        <w:rPr>
          <w:sz w:val="22"/>
          <w:szCs w:val="22"/>
        </w:rPr>
        <w:t>L’accord-cadre n’est pas alloti. Il est attribué à un seul titulaire, pour l’ensemble des bâtiments figurant à l’annexe 1 au CCTP.</w:t>
      </w:r>
    </w:p>
    <w:p>
      <w:pPr>
        <w:pStyle w:val="Normal"/>
        <w:jc w:val="both"/>
        <w:rPr>
          <w:sz w:val="22"/>
          <w:szCs w:val="22"/>
        </w:rPr>
      </w:pPr>
      <w:r>
        <w:rPr>
          <w:sz w:val="22"/>
          <w:szCs w:val="22"/>
        </w:rPr>
        <w:t/>
      </w:r>
    </w:p>
    <w:p>
      <w:pPr>
        <w:pStyle w:val="Normal"/>
        <w:jc w:val="both"/>
        <w:rPr>
          <w:sz w:val="22"/>
          <w:szCs w:val="22"/>
        </w:rPr>
      </w:pPr>
      <w:r>
        <w:rPr>
          <w:sz w:val="22"/>
          <w:szCs w:val="22"/>
        </w:rPr>
        <w:t>En application de l’article L. 2113-11 2° du Code de la commande publique, le pouvoir adjudicateur a décidé de ne pas allotir l’accord-cadre, la dévolution en lots séparés risquant de rendre l’exécution des prestations financièrement plus coûteuse. Ce choix repose sur les considérations de fait suivantes.</w:t>
      </w:r>
    </w:p>
    <w:p>
      <w:pPr>
        <w:pStyle w:val="Normal"/>
        <w:jc w:val="both"/>
        <w:rPr>
          <w:sz w:val="22"/>
          <w:szCs w:val="22"/>
        </w:rPr>
      </w:pPr>
      <w:r>
        <w:rPr>
          <w:sz w:val="22"/>
          <w:szCs w:val="22"/>
        </w:rPr>
        <w:t/>
      </w:r>
    </w:p>
    <w:p>
      <w:pPr>
        <w:pStyle w:val="Normal"/>
        <w:jc w:val="both"/>
        <w:rPr>
          <w:sz w:val="22"/>
          <w:szCs w:val="22"/>
        </w:rPr>
      </w:pPr>
      <w:r>
        <w:rPr>
          <w:sz w:val="22"/>
          <w:szCs w:val="22"/>
        </w:rPr>
        <w:t>Le volume de l’accord-cadre est faible au regard du nombre de sites. Son montant maximum est de 275 000 € HT sur quatre ans au plus, soit moins de 70 000 € HT par an, pour quatre-vingt-cinq bâtiments ou parties de bâtiment répartis sur l’ensemble du territoire communal et sur un site situé hors de la commune. Divisé en deux lots, il donnerait deux accords-cadres de moins de 35 000 € HT par an chacun.</w:t>
      </w:r>
    </w:p>
    <w:p>
      <w:pPr>
        <w:pStyle w:val="Normal"/>
        <w:jc w:val="both"/>
        <w:rPr>
          <w:sz w:val="22"/>
          <w:szCs w:val="22"/>
        </w:rPr>
      </w:pPr>
      <w:r>
        <w:rPr>
          <w:sz w:val="22"/>
          <w:szCs w:val="22"/>
        </w:rPr>
        <w:t/>
      </w:r>
    </w:p>
    <w:p>
      <w:pPr>
        <w:pStyle w:val="Normal"/>
        <w:jc w:val="both"/>
        <w:rPr>
          <w:sz w:val="22"/>
          <w:szCs w:val="22"/>
        </w:rPr>
      </w:pPr>
      <w:r>
        <w:rPr>
          <w:sz w:val="22"/>
          <w:szCs w:val="22"/>
        </w:rPr>
        <w:t>Une part importante du coût des prestations ne dépend pas de la surface nettoyée, mais des moyens à mobiliser pour l’ensemble des sites : la location et l’acheminement d’une nacelle de 23 mètres, nécessaire sur quatre sites situés en différents points de la commune, le recours à des cordistes qualifiés pour l’Embarcadère, l’encadrement des équipes, l’établissement d’un plan de prévention pour chaque site et l’organisation du passage initial de remise en état. Confiés à deux ou plusieurs titulaires, ces coûts seraient supportés deux fois ou plus, sur des volumes moindres, et se reporteraient sur les prix unitaires de chacun.</w:t>
      </w:r>
    </w:p>
    <w:p>
      <w:pPr>
        <w:pStyle w:val="Texte"/>
        <w:jc w:val="both"/>
        <w:rPr>
          <w:rFonts w:ascii="Times New Roman" w:hAnsi="Times New Roman" w:cs="Times New Roman"/>
          <w:shadow w:val="false"/>
          <w:color w:val="000000"/>
          <w:sz w:val="22"/>
          <w:szCs w:val="22"/>
        </w:rPr>
      </w:pPr>
      <w:r>
        <w:rPr>
          <w:rFonts w:cs="Times New Roman" w:ascii="Times New Roman" w:hAnsi="Times New Roman"/>
          <w:shadow w:val="false"/>
          <w:color w:val="000000"/>
          <w:sz w:val="22"/>
          <w:szCs w:val="22"/>
        </w:rPr>
      </w:r>
    </w:p>
    <w:p>
      <w:pPr>
        <w:pStyle w:val="BodyText"/>
        <w:keepNext/>
        <w:jc w:val="left"/>
      </w:pPr>
      <w:r>
        <w:rPr>
          <w:rFonts w:ascii="Times New Roman" w:hAnsi="Times New Roman" w:cs="Times New Roman"/>
          <w:b/>
          <w:bCs/>
          <w:color w:val="000000"/>
          <w:sz w:val="24"/>
          <w:szCs w:val="24"/>
          <w:u w:val="none"/>
        </w:rPr>
        <w:t xml:space="preserve">1.4. Forme et montant de l’accord-cadre</w:t>
      </w:r>
    </w:p>
    <w:p>
      <w:pPr>
        <w:pStyle w:val="BodyText"/>
        <w:keepNext/>
        <w:rPr>
          <w:sz w:val="22"/>
          <w:szCs w:val="22"/>
        </w:rPr>
      </w:pPr>
      <w:r>
        <w:rPr>
          <w:b/>
          <w:bCs/>
          <w:sz w:val="22"/>
          <w:szCs w:val="22"/>
        </w:rPr>
      </w:r>
    </w:p>
    <w:p>
      <w:pPr>
        <w:pStyle w:val="Normal"/>
        <w:tabs>
          <w:tab w:val="clear" w:pos="709"/>
          <w:tab w:val="left" w:pos="288" w:leader="none"/>
          <w:tab w:val="left" w:pos="4320" w:leader="none"/>
          <w:tab w:val="left" w:pos="8352" w:leader="none"/>
        </w:tabs>
        <w:ind w:end="-57"/>
        <w:jc w:val="both"/>
        <w:rPr>
          <w:iCs/>
          <w:color w:val="000000"/>
          <w:lang w:val="en-US" w:eastAsia="en-US"/>
        </w:rPr>
      </w:pPr>
      <w:r>
        <w:rPr>
          <w:sz w:val="22"/>
          <w:szCs w:val="22"/>
        </w:rPr>
        <w:t>L’accord-cadre est passé à prix mixtes. Les passages programmés, soit le passage initial de remise en état de la première année d’exécution puis les passages courants des années suivantes, sont rémunérés par les prix forfaitaires de la décomposition du prix global et forfaitaire (DPGF), bâtiment par bâtiment, et payés après chaque passage constaté ; le nombre de passages courants de chaque bâtiment, un ou deux par an, est celui de l’annexe 1 au CCTP. Les autres prestations, références P01 à P20 du bordereau des prix unitaires (BPU), sont exécutées par bons de commande et rémunérées par application des prix unitaires aux quantités réellement exécutées. Un passage commandé en plus de ceux que l’annexe 1 programme pour un bâtiment est un passage supplémentaire : il est commandé par bon de commande et payé au prix d’un passage courant de ce bâtiment porté à la DPGF.</w:t>
      </w:r>
    </w:p>
    <w:p>
      <w:pPr>
        <w:pStyle w:val="12para1"/>
        <w:ind w:hanging="0" w:end="0"/>
        <w:rPr>
          <w:rFonts w:ascii="Times New Roman" w:hAnsi="Times New Roman" w:cs="Times New Roman"/>
          <w:iCs/>
          <w:color w:val="000000"/>
          <w:lang w:val="en-US" w:eastAsia="en-US"/>
        </w:rPr>
      </w:pPr>
      <w:r>
        <w:rPr>
          <w:rFonts w:cs="Times New Roman" w:ascii="Times New Roman" w:hAnsi="Times New Roman"/>
          <w:iCs/>
          <w:color w:val="000000"/>
          <w:lang w:val="en-US" w:eastAsia="en-US"/>
        </w:rPr>
        <w:t xml:space="preserve">Les prestations de la partie à bons de commande sont susceptibles de varier dans la limite annuelle suivante, conformément aux dispositions des articles R2162-13 et R2162-14 du Code de la commande publique : </w:t>
      </w:r>
    </w:p>
    <w:p>
      <w:pPr>
        <w:pStyle w:val="12para1"/>
        <w:ind w:hanging="0" w:end="0"/>
        <w:rPr>
          <w:rFonts w:ascii="Times New Roman" w:hAnsi="Times New Roman" w:cs="Times New Roman"/>
        </w:rPr>
      </w:pPr>
      <w:r>
        <w:rPr>
          <w:rFonts w:cs="Times New Roman" w:ascii="Times New Roman" w:hAnsi="Times New Roman"/>
          <w:b/>
          <w:bCs/>
        </w:rPr>
        <w:t>Montant minimum : néant</w:t>
      </w:r>
      <w:r>
        <w:rPr>
          <w:rFonts w:cs="Times New Roman" w:ascii="Times New Roman" w:hAnsi="Times New Roman"/>
        </w:rPr>
        <w:t xml:space="preserve"/>
      </w:r>
      <w:r>
        <w:rPr>
          <w:rFonts w:cs="Times New Roman" w:ascii="Times New Roman" w:hAnsi="Times New Roman"/>
          <w:b/>
        </w:rPr>
        <w:t/>
      </w:r>
      <w:r>
        <w:rPr>
          <w:rFonts w:cs="Times New Roman" w:ascii="Times New Roman" w:hAnsi="Times New Roman"/>
        </w:rPr>
        <w:t xml:space="preserve">              </w:t>
      </w:r>
      <w:r>
        <w:rPr>
          <w:rFonts w:cs="Times New Roman" w:ascii="Times New Roman" w:hAnsi="Times New Roman"/>
          <w:b/>
          <w:bCs/>
        </w:rPr>
        <w:t>Montant maximum :</w:t>
      </w:r>
      <w:r>
        <w:rPr>
          <w:rFonts w:cs="Times New Roman" w:ascii="Times New Roman" w:hAnsi="Times New Roman"/>
        </w:rPr>
        <w:t xml:space="preserve"> 20 000 € HT par période annuelle d’exécution </w:t>
      </w:r>
    </w:p>
    <w:p>
      <w:pPr>
        <w:pStyle w:val="12para1"/>
        <w:ind w:hanging="0" w:end="0"/>
        <w:rPr>
          <w:rFonts w:ascii="Times New Roman" w:hAnsi="Times New Roman" w:cs="Times New Roman"/>
        </w:rPr>
      </w:pPr>
      <w:r>
        <w:rPr>
          <w:rFonts w:cs="Times New Roman" w:ascii="Times New Roman" w:hAnsi="Times New Roman"/>
          <w:b/>
          <w:bCs/>
        </w:rPr>
        <w:t>Le montant maximum de l’accord-cadre, partie forfaitaire et partie à bons de commande comprises, est fixé sur sa durée totale, reconductions comprises : montant maximum : 275 000 € HT.</w:t>
      </w:r>
    </w:p>
    <w:p>
      <w:pPr>
        <w:pStyle w:val="12para1"/>
        <w:ind w:hanging="0" w:end="0"/>
        <w:rPr>
          <w:rFonts w:ascii="Times New Roman" w:hAnsi="Times New Roman" w:cs="Times New Roman"/>
        </w:rPr>
      </w:pPr>
      <w:r>
        <w:rPr>
          <w:rFonts w:cs="Times New Roman" w:ascii="Times New Roman" w:hAnsi="Times New Roman"/>
          <w:b/>
          <w:bCs/>
        </w:rPr>
        <w:t>Une période annuelle d’exécution court de la date de notification de l’accord-cadre, ou de chacune de ses dates anniversaires, jusqu’à la veille de la date anniversaire suivante.</w:t>
      </w:r>
    </w:p>
    <w:p>
      <w:pPr>
        <w:pStyle w:val="BodyText"/>
        <w:keepNext/>
        <w:jc w:val="left"/>
      </w:pPr>
      <w:r>
        <w:rPr>
          <w:rFonts w:ascii="Times New Roman" w:hAnsi="Times New Roman" w:cs="Times New Roman"/>
          <w:b/>
          <w:bCs/>
          <w:color w:val="000000"/>
          <w:sz w:val="24"/>
          <w:szCs w:val="24"/>
          <w:u w:val="none"/>
        </w:rPr>
        <w:t xml:space="preserve">1.5. Durée de l’accord-cadre</w:t>
      </w:r>
    </w:p>
    <w:p>
      <w:pPr>
        <w:pStyle w:val="Normal"/>
        <w:keepNext/>
        <w:rPr>
          <w:b/>
          <w:bCs/>
          <w:sz w:val="22"/>
          <w:szCs w:val="22"/>
          <w:u w:val="single"/>
        </w:rPr>
      </w:pPr>
      <w:r>
        <w:rPr>
          <w:rFonts w:eastAsia="Times New Roman" w:ascii="Times New Roman" w:hAnsi="Times New Roman" w:cs="Times New Roman"/>
          <w:b/>
          <w:bCs/>
          <w:sz w:val="22"/>
          <w:szCs w:val="22"/>
          <w:u w:val="single"/>
        </w:rPr>
      </w:r>
    </w:p>
    <w:p>
      <w:pPr>
        <w:pStyle w:val="BodyText"/>
        <w:rPr>
          <w:sz w:val="22"/>
          <w:szCs w:val="22"/>
        </w:rPr>
      </w:pPr>
      <w:r>
        <w:rPr>
          <w:sz w:val="22"/>
          <w:szCs w:val="22"/>
        </w:rPr>
        <w:t>Le présent accord-cadre est conclu pour une durée d’un an à compter de sa date de notification. Il est reconductible tacitement trois fois au maximum, par période successive d’un an, sans que sa durée totale puisse excéder quatre ans. Le titulaire ne peut s’opposer à la reconduction (article R. 2112-4 du Code de la commande publique).</w:t>
      </w:r>
    </w:p>
    <w:p>
      <w:pPr>
        <w:pStyle w:val="BodyText"/>
        <w:rPr>
          <w:sz w:val="22"/>
          <w:szCs w:val="22"/>
        </w:rPr>
      </w:pPr>
      <w:r>
        <w:rPr>
          <w:sz w:val="22"/>
          <w:szCs w:val="22"/>
        </w:rPr>
      </w:r>
    </w:p>
    <w:p>
      <w:pPr>
        <w:pStyle w:val="Normal"/>
        <w:autoSpaceDE w:val="false"/>
        <w:jc w:val="both"/>
        <w:rPr>
          <w:sz w:val="22"/>
          <w:szCs w:val="22"/>
        </w:rPr>
      </w:pPr>
      <w:r>
        <w:rPr>
          <w:sz w:val="22"/>
          <w:szCs w:val="22"/>
        </w:rPr>
        <w:t>Le pouvoir adjudicateur qui décide de ne pas reconduire l’accord-cadre en informe le titulaire par écrit, au moins un mois avant la fin de la période en cours.</w:t>
      </w:r>
    </w:p>
    <w:p>
      <w:pPr>
        <w:pStyle w:val="Normal"/>
        <w:autoSpaceDE w:val="false"/>
        <w:jc w:val="both"/>
        <w:rPr>
          <w:sz w:val="22"/>
          <w:szCs w:val="22"/>
        </w:rPr>
      </w:pPr>
      <w:r>
        <w:rPr>
          <w:sz w:val="22"/>
          <w:szCs w:val="22"/>
        </w:rPr>
      </w:r>
    </w:p>
    <w:p>
      <w:pPr>
        <w:pStyle w:val="Heading2"/>
        <w:keepNext/>
        <w:ind w:hanging="0" w:start="0"/>
        <w:jc w:val="left"/>
      </w:pPr>
      <w:r>
        <w:rPr>
          <w:rFonts w:ascii="Times New Roman" w:hAnsi="Times New Roman" w:cs="Times New Roman"/>
          <w:b/>
          <w:bCs/>
          <w:color w:val="000000"/>
          <w:sz w:val="24"/>
          <w:szCs w:val="24"/>
          <w:u w:val="none"/>
        </w:rPr>
        <w:t xml:space="preserve">1.6. Modalités de règlement de l’accord-cadre</w:t>
      </w:r>
    </w:p>
    <w:p>
      <w:pPr>
        <w:pStyle w:val="Normal"/>
        <w:keepNext/>
        <w:jc w:val="both"/>
        <w:rPr>
          <w:b/>
          <w:sz w:val="22"/>
          <w:szCs w:val="22"/>
          <w:u w:val="single"/>
        </w:rPr>
      </w:pPr>
      <w:r>
        <w:rPr>
          <w:b/>
          <w:sz w:val="22"/>
          <w:szCs w:val="22"/>
          <w:u w:val="single"/>
        </w:rPr>
      </w:r>
    </w:p>
    <w:p>
      <w:pPr>
        <w:pStyle w:val="Normal"/>
        <w:jc w:val="both"/>
        <w:rPr>
          <w:color w:val="000000"/>
          <w:sz w:val="22"/>
          <w:szCs w:val="22"/>
        </w:rPr>
      </w:pPr>
      <w:r>
        <w:rPr>
          <w:sz w:val="22"/>
          <w:szCs w:val="22"/>
        </w:rPr>
        <w:t xml:space="preserve">Fonds publics de la ville d’Aubervilliers et du CCAS d’Aubervilliers, chacun pour sa part (ressources propres). </w:t>
      </w:r>
    </w:p>
    <w:p>
      <w:pPr>
        <w:pStyle w:val="Normal"/>
        <w:jc w:val="both"/>
        <w:rPr>
          <w:color w:val="000000"/>
          <w:sz w:val="22"/>
          <w:szCs w:val="22"/>
        </w:rPr>
      </w:pPr>
      <w:r>
        <w:rPr>
          <w:color w:val="000000"/>
          <w:sz w:val="22"/>
          <w:szCs w:val="22"/>
        </w:rPr>
      </w:r>
    </w:p>
    <w:p>
      <w:pPr>
        <w:pStyle w:val="Normal"/>
        <w:jc w:val="both"/>
        <w:rPr>
          <w:sz w:val="22"/>
          <w:szCs w:val="22"/>
        </w:rPr>
      </w:pPr>
      <w:r>
        <w:rPr>
          <w:sz w:val="22"/>
          <w:szCs w:val="22"/>
        </w:rPr>
        <w:t>Le mode de règlement est le mandat administratif suivi d’un virement bancaire conformément aux règles de la comptabilité publique.</w:t>
      </w:r>
    </w:p>
    <w:p>
      <w:pPr>
        <w:pStyle w:val="Heading2"/>
        <w:ind w:hanging="0" w:start="0"/>
        <w:jc w:val="both"/>
        <w:rPr>
          <w:sz w:val="22"/>
          <w:szCs w:val="22"/>
        </w:rPr>
      </w:pPr>
      <w:r>
        <w:rPr>
          <w:sz w:val="22"/>
          <w:szCs w:val="22"/>
        </w:rPr>
      </w:r>
    </w:p>
    <w:p>
      <w:pPr>
        <w:pStyle w:val="Heading2"/>
        <w:keepNext/>
        <w:ind w:hanging="0" w:start="0"/>
        <w:jc w:val="left"/>
      </w:pPr>
      <w:r>
        <w:rPr>
          <w:rFonts w:ascii="Times New Roman" w:hAnsi="Times New Roman" w:cs="Times New Roman"/>
          <w:b/>
          <w:bCs/>
          <w:color w:val="000000"/>
          <w:sz w:val="24"/>
          <w:szCs w:val="24"/>
          <w:u w:val="none"/>
        </w:rPr>
        <w:t xml:space="preserve">1.7. Durée de validité de l’offre</w:t>
      </w:r>
    </w:p>
    <w:p>
      <w:pPr>
        <w:pStyle w:val="Normal"/>
        <w:keepNext/>
        <w:jc w:val="both"/>
        <w:rPr>
          <w:b/>
          <w:sz w:val="22"/>
          <w:szCs w:val="22"/>
          <w:u w:val="single"/>
        </w:rPr>
      </w:pPr>
      <w:r>
        <w:rPr>
          <w:b/>
          <w:sz w:val="22"/>
          <w:szCs w:val="22"/>
          <w:u w:val="single"/>
        </w:rPr>
      </w:r>
    </w:p>
    <w:p>
      <w:pPr>
        <w:pStyle w:val="Normal"/>
        <w:jc w:val="both"/>
        <w:rPr>
          <w:sz w:val="22"/>
          <w:szCs w:val="22"/>
        </w:rPr>
      </w:pPr>
      <w:r>
        <w:rPr>
          <w:sz w:val="22"/>
          <w:szCs w:val="22"/>
        </w:rPr>
        <w:t>La durée de validité de l’offre est fixée à 120 jours, à compter de la date limite de réception des offres.</w:t>
      </w:r>
    </w:p>
    <w:p>
      <w:pPr>
        <w:pStyle w:val="Normal"/>
        <w:jc w:val="both"/>
        <w:rPr>
          <w:sz w:val="22"/>
          <w:szCs w:val="22"/>
        </w:rPr>
      </w:pPr>
      <w:r>
        <w:rPr>
          <w:sz w:val="22"/>
          <w:szCs w:val="22"/>
        </w:rPr>
      </w:r>
    </w:p>
    <w:p>
      <w:pPr>
        <w:pStyle w:val="Heading2"/>
        <w:keepNext/>
        <w:ind w:hanging="0" w:start="0"/>
        <w:jc w:val="left"/>
      </w:pPr>
      <w:r>
        <w:rPr>
          <w:rFonts w:ascii="Times New Roman" w:hAnsi="Times New Roman" w:cs="Times New Roman"/>
          <w:b/>
          <w:bCs/>
          <w:color w:val="000000"/>
          <w:sz w:val="24"/>
          <w:szCs w:val="24"/>
          <w:u w:val="none"/>
        </w:rPr>
        <w:t xml:space="preserve">1.8. Langue de l’accord-cadre</w:t>
      </w:r>
    </w:p>
    <w:p>
      <w:pPr>
        <w:pStyle w:val="BodyText"/>
        <w:keepNext/>
        <w:rPr>
          <w:b/>
          <w:sz w:val="22"/>
          <w:szCs w:val="22"/>
          <w:u w:val="single"/>
        </w:rPr>
      </w:pPr>
      <w:r>
        <w:rPr>
          <w:b/>
          <w:sz w:val="22"/>
          <w:szCs w:val="22"/>
          <w:u w:val="single"/>
        </w:rPr>
      </w:r>
    </w:p>
    <w:p>
      <w:pPr>
        <w:pStyle w:val="BodyText"/>
        <w:rPr>
          <w:sz w:val="22"/>
          <w:szCs w:val="22"/>
        </w:rPr>
      </w:pPr>
      <w:r>
        <w:rPr>
          <w:sz w:val="22"/>
          <w:szCs w:val="22"/>
        </w:rPr>
        <w:t xml:space="preserve">Les pièces remises à l’appui des candidatures et des offres, ainsi que toute correspondance relative au présent accord-cadre devront être rédigées en </w:t>
      </w:r>
      <w:r>
        <w:rPr>
          <w:b/>
          <w:bCs/>
          <w:sz w:val="22"/>
          <w:szCs w:val="22"/>
          <w:u w:val="single"/>
        </w:rPr>
        <w:t>langue française</w:t>
      </w:r>
      <w:r>
        <w:rPr>
          <w:b/>
          <w:sz w:val="22"/>
          <w:szCs w:val="22"/>
        </w:rPr>
        <w:t xml:space="preserve"> </w:t>
      </w:r>
      <w:r>
        <w:rPr>
          <w:sz w:val="22"/>
          <w:szCs w:val="22"/>
        </w:rPr>
        <w:t>exclusivement.</w:t>
      </w:r>
    </w:p>
    <w:p>
      <w:pPr>
        <w:pStyle w:val="BodyText"/>
        <w:rPr>
          <w:sz w:val="22"/>
          <w:szCs w:val="22"/>
        </w:rPr>
      </w:pPr>
      <w:r>
        <w:rPr>
          <w:sz w:val="22"/>
          <w:szCs w:val="22"/>
        </w:rPr>
      </w:r>
    </w:p>
    <w:p>
      <w:pPr>
        <w:pStyle w:val="Heading2"/>
        <w:keepNext/>
        <w:ind w:hanging="0" w:start="0"/>
        <w:jc w:val="left"/>
      </w:pPr>
      <w:r>
        <w:rPr>
          <w:rFonts w:ascii="Times New Roman" w:hAnsi="Times New Roman" w:cs="Times New Roman"/>
          <w:b/>
          <w:bCs/>
          <w:color w:val="000000"/>
          <w:sz w:val="24"/>
          <w:szCs w:val="24"/>
          <w:u w:val="none"/>
        </w:rPr>
        <w:t xml:space="preserve">1.9. Unité monétaire de l’accord-cadre</w:t>
      </w:r>
    </w:p>
    <w:p>
      <w:pPr>
        <w:pStyle w:val="BodyText"/>
        <w:keepNext/>
        <w:rPr>
          <w:sz w:val="22"/>
          <w:szCs w:val="22"/>
        </w:rPr>
      </w:pPr>
      <w:r>
        <w:rPr>
          <w:b/>
          <w:sz w:val="22"/>
          <w:szCs w:val="22"/>
          <w:u w:val="single"/>
        </w:rPr>
        <w:t xml:space="preserve"> </w:t>
      </w:r>
    </w:p>
    <w:p>
      <w:pPr>
        <w:pStyle w:val="BodyText"/>
        <w:rPr>
          <w:sz w:val="22"/>
          <w:szCs w:val="22"/>
        </w:rPr>
      </w:pPr>
      <w:r>
        <w:rPr>
          <w:sz w:val="22"/>
          <w:szCs w:val="22"/>
        </w:rPr>
        <w:t xml:space="preserve">L’unité de compte dans laquelle devra être exécuté l’accord-cadre est </w:t>
      </w:r>
      <w:r>
        <w:rPr>
          <w:b/>
          <w:sz w:val="22"/>
          <w:szCs w:val="22"/>
        </w:rPr>
        <w:t>l’Euro</w:t>
      </w:r>
      <w:r>
        <w:rPr>
          <w:sz w:val="22"/>
          <w:szCs w:val="22"/>
        </w:rPr>
        <w:t>.</w:t>
      </w:r>
    </w:p>
    <w:p>
      <w:pPr>
        <w:pStyle w:val="Heading2"/>
        <w:ind w:hanging="0" w:start="0"/>
        <w:jc w:val="both"/>
        <w:rPr>
          <w:sz w:val="22"/>
          <w:szCs w:val="22"/>
        </w:rPr>
      </w:pPr>
      <w:r>
        <w:rPr>
          <w:sz w:val="22"/>
          <w:szCs w:val="22"/>
        </w:rPr>
      </w:r>
    </w:p>
    <w:p>
      <w:pPr>
        <w:pStyle w:val="Heading2"/>
        <w:keepNext/>
        <w:ind w:hanging="0" w:start="0"/>
        <w:jc w:val="left"/>
      </w:pPr>
      <w:r>
        <w:rPr>
          <w:rFonts w:ascii="Times New Roman" w:hAnsi="Times New Roman" w:cs="Times New Roman"/>
          <w:b/>
          <w:bCs/>
          <w:color w:val="000000"/>
          <w:sz w:val="24"/>
          <w:szCs w:val="24"/>
          <w:u w:val="none"/>
        </w:rPr>
        <w:t xml:space="preserve">1.10. Loi applicable et tribunal compétent</w:t>
      </w:r>
    </w:p>
    <w:p>
      <w:pPr>
        <w:pStyle w:val="BodyText"/>
        <w:keepNext/>
        <w:rPr>
          <w:sz w:val="22"/>
          <w:szCs w:val="22"/>
        </w:rPr>
      </w:pPr>
      <w:r>
        <w:rPr>
          <w:sz w:val="22"/>
          <w:szCs w:val="22"/>
        </w:rPr>
      </w:r>
    </w:p>
    <w:p>
      <w:pPr>
        <w:pStyle w:val="BodyText"/>
        <w:rPr>
          <w:sz w:val="22"/>
          <w:szCs w:val="22"/>
        </w:rPr>
      </w:pPr>
      <w:r>
        <w:rPr>
          <w:sz w:val="22"/>
          <w:szCs w:val="22"/>
        </w:rPr>
        <w:t xml:space="preserve">La </w:t>
      </w:r>
      <w:r>
        <w:rPr>
          <w:b/>
          <w:bCs/>
          <w:sz w:val="22"/>
          <w:szCs w:val="22"/>
        </w:rPr>
        <w:t>loi française</w:t>
      </w:r>
      <w:r>
        <w:rPr>
          <w:sz w:val="22"/>
          <w:szCs w:val="22"/>
        </w:rPr>
        <w:t xml:space="preserve"> est seule applicable au présent accord-cadre. En cas de litige, les tribunaux français sont seuls compétents.</w:t>
      </w:r>
    </w:p>
    <w:p>
      <w:pPr>
        <w:pStyle w:val="Normal"/>
        <w:rPr>
          <w:sz w:val="22"/>
          <w:szCs w:val="22"/>
        </w:rPr>
      </w:pPr>
      <w:r>
        <w:rPr>
          <w:sz w:val="22"/>
          <w:szCs w:val="22"/>
        </w:rPr>
      </w:r>
    </w:p>
    <w:p>
      <w:pPr>
        <w:pStyle w:val="Heading1"/>
        <w:keepNext/>
        <w:ind w:hanging="0" w:start="0" w:end="0"/>
        <w:jc w:val="left"/>
      </w:pPr>
      <w:r>
        <w:rPr>
          <w:rFonts w:ascii="Times New Roman" w:hAnsi="Times New Roman" w:cs="Times New Roman"/>
          <w:b/>
          <w:bCs/>
          <w:color w:val="000000"/>
          <w:sz w:val="24"/>
          <w:szCs w:val="24"/>
          <w:u w:val="none"/>
        </w:rPr>
        <w:t xml:space="preserve">ARTICLE 2 – DISPOSITIONS PARTICULIÈRES</w:t>
      </w:r>
    </w:p>
    <w:p>
      <w:pPr>
        <w:pStyle w:val="BodyText"/>
        <w:keepNext/>
        <w:rPr>
          <w:sz w:val="22"/>
          <w:szCs w:val="22"/>
        </w:rPr>
      </w:pPr>
      <w:r>
        <w:rPr>
          <w:sz w:val="22"/>
          <w:szCs w:val="22"/>
        </w:rPr>
      </w:r>
    </w:p>
    <w:p>
      <w:pPr>
        <w:pStyle w:val="Heading2"/>
        <w:keepNext/>
        <w:ind w:hanging="0" w:start="0"/>
        <w:jc w:val="left"/>
      </w:pPr>
      <w:r>
        <w:rPr>
          <w:rFonts w:ascii="Times New Roman" w:hAnsi="Times New Roman" w:cs="Times New Roman"/>
          <w:b/>
          <w:bCs/>
          <w:color w:val="000000"/>
          <w:sz w:val="24"/>
          <w:szCs w:val="24"/>
          <w:u w:val="none"/>
        </w:rPr>
        <w:t xml:space="preserve">2.1. Variantes et prestations supplémentaires éventuelles</w:t>
      </w:r>
    </w:p>
    <w:p>
      <w:pPr>
        <w:pStyle w:val="Normal"/>
        <w:keepNext/>
        <w:jc w:val="both"/>
        <w:rPr>
          <w:sz w:val="22"/>
          <w:szCs w:val="22"/>
        </w:rPr>
      </w:pPr>
      <w:r>
        <w:rPr>
          <w:sz w:val="22"/>
          <w:szCs w:val="22"/>
        </w:rPr>
      </w:r>
    </w:p>
    <w:p>
      <w:pPr>
        <w:pStyle w:val="Normal"/>
        <w:jc w:val="both"/>
        <w:rPr>
          <w:sz w:val="22"/>
          <w:szCs w:val="22"/>
        </w:rPr>
      </w:pPr>
      <w:r>
        <w:rPr>
          <w:sz w:val="22"/>
          <w:szCs w:val="22"/>
        </w:rPr>
        <w:t>Sans objet.</w:t>
      </w:r>
    </w:p>
    <w:p>
      <w:pPr>
        <w:pStyle w:val="Normal"/>
        <w:jc w:val="both"/>
        <w:rPr>
          <w:sz w:val="22"/>
          <w:szCs w:val="22"/>
        </w:rPr>
      </w:pPr>
      <w:r>
        <w:rPr>
          <w:sz w:val="22"/>
          <w:szCs w:val="22"/>
        </w:rPr>
      </w:r>
    </w:p>
    <w:p>
      <w:pPr>
        <w:pStyle w:val="Heading2"/>
        <w:keepNext/>
        <w:ind w:hanging="0" w:start="0"/>
        <w:jc w:val="left"/>
      </w:pPr>
      <w:r>
        <w:rPr>
          <w:rFonts w:ascii="Times New Roman" w:hAnsi="Times New Roman" w:cs="Times New Roman"/>
          <w:b/>
          <w:bCs/>
          <w:color w:val="000000"/>
          <w:sz w:val="24"/>
          <w:szCs w:val="24"/>
          <w:u w:val="none"/>
        </w:rPr>
        <w:t xml:space="preserve">2.2. Modalités de dévolution de l’accord-cadre</w:t>
      </w:r>
    </w:p>
    <w:p>
      <w:pPr>
        <w:pStyle w:val="Corpsdetexte21"/>
        <w:keepNext/>
        <w:rPr>
          <w:i w:val="false"/>
          <w:sz w:val="22"/>
          <w:szCs w:val="22"/>
        </w:rPr>
      </w:pPr>
      <w:r>
        <w:rPr>
          <w:i w:val="false"/>
          <w:sz w:val="22"/>
          <w:szCs w:val="22"/>
        </w:rPr>
      </w:r>
    </w:p>
    <w:p>
      <w:pPr>
        <w:pStyle w:val="Corpsdetexte21"/>
        <w:rPr>
          <w:i w:val="false"/>
          <w:iCs w:val="false"/>
          <w:color w:val="000000"/>
          <w:sz w:val="22"/>
          <w:szCs w:val="22"/>
        </w:rPr>
      </w:pPr>
      <w:r>
        <w:rPr>
          <w:i w:val="false"/>
          <w:iCs w:val="false"/>
          <w:color w:val="000000"/>
          <w:sz w:val="22"/>
          <w:szCs w:val="22"/>
        </w:rPr>
        <w:t>L’accord-cadre sera attribué soit à un seul opérateur économique soit à un groupement d’opérateurs économiques.</w:t>
      </w:r>
    </w:p>
    <w:p>
      <w:pPr>
        <w:pStyle w:val="Corpsdetexte21"/>
        <w:rPr>
          <w:i w:val="false"/>
          <w:iCs w:val="false"/>
          <w:color w:val="000000"/>
          <w:sz w:val="22"/>
          <w:szCs w:val="22"/>
        </w:rPr>
      </w:pPr>
      <w:r>
        <w:rPr>
          <w:i w:val="false"/>
          <w:iCs w:val="false"/>
          <w:color w:val="000000"/>
          <w:sz w:val="22"/>
          <w:szCs w:val="22"/>
        </w:rPr>
      </w:r>
    </w:p>
    <w:p>
      <w:pPr>
        <w:pStyle w:val="Corpsdetexte21"/>
        <w:rPr>
          <w:color w:val="000000"/>
          <w:sz w:val="22"/>
          <w:szCs w:val="22"/>
        </w:rPr>
      </w:pPr>
      <w:r>
        <w:rPr>
          <w:i w:val="false"/>
          <w:iCs w:val="false"/>
          <w:color w:val="000000"/>
          <w:sz w:val="22"/>
          <w:szCs w:val="22"/>
        </w:rPr>
        <w:t>Un même opérateur économique ne peut être mandataire de plus d’un groupement pour un même accord-cadre.</w:t>
      </w:r>
    </w:p>
    <w:p>
      <w:pPr>
        <w:pStyle w:val="Normal"/>
        <w:jc w:val="both"/>
        <w:rPr>
          <w:sz w:val="22"/>
          <w:szCs w:val="22"/>
        </w:rPr>
      </w:pPr>
      <w:r>
        <w:rPr>
          <w:color w:val="000000"/>
          <w:sz w:val="22"/>
          <w:szCs w:val="22"/>
        </w:rPr>
        <w:t>En application de l'article R2142-21 du Code de la commande publique, la personne publique interdit aux candidats de présenter leurs offres en agissant à la fois en qualité de candidats individuels et de membres d'un ou plusieurs groupements ainsi qu’en qualité de membres de plusieurs groupements.</w:t>
      </w:r>
    </w:p>
    <w:p>
      <w:pPr>
        <w:pStyle w:val="Normal"/>
        <w:jc w:val="both"/>
        <w:rPr>
          <w:sz w:val="22"/>
          <w:szCs w:val="22"/>
        </w:rPr>
      </w:pPr>
      <w:r>
        <w:rPr>
          <w:sz w:val="22"/>
          <w:szCs w:val="22"/>
        </w:rPr>
      </w:r>
    </w:p>
    <w:p>
      <w:pPr>
        <w:pStyle w:val="NormalWeb"/>
        <w:keepNext/>
        <w:spacing w:before="0" w:after="0"/>
        <w:jc w:val="left"/>
      </w:pPr>
      <w:r>
        <w:rPr>
          <w:rFonts w:ascii="Times New Roman" w:hAnsi="Times New Roman" w:cs="Times New Roman"/>
          <w:b/>
          <w:bCs/>
          <w:color w:val="000000"/>
          <w:sz w:val="24"/>
          <w:szCs w:val="24"/>
          <w:u w:val="none"/>
        </w:rPr>
        <w:t xml:space="preserve">2.3. Visite obligatoire avant la remise de l’offre</w:t>
      </w:r>
    </w:p>
    <w:p>
      <w:pPr>
        <w:pStyle w:val="Normal2"/>
        <w:keepNext/>
        <w:tabs>
          <w:tab w:val="clear" w:pos="567"/>
          <w:tab w:val="clear" w:pos="851"/>
          <w:tab w:val="left" w:pos="-3119" w:leader="none"/>
          <w:tab w:val="left" w:pos="1418" w:leader="none"/>
        </w:tabs>
        <w:ind w:hanging="0" w:start="0" w:end="0"/>
        <w:rPr>
          <w:bCs/>
          <w:szCs w:val="22"/>
          <w:lang w:val="en-US" w:eastAsia="en-US"/>
        </w:rPr>
      </w:pPr>
      <w:r>
        <w:rPr>
          <w:b/>
          <w:bCs/>
          <w:sz w:val="22"/>
          <w:szCs w:val="22"/>
          <w:lang w:val="en-US" w:eastAsia="en-US"/>
        </w:rPr>
      </w:r>
    </w:p>
    <w:p>
      <w:pPr>
        <w:pStyle w:val="Normal2"/>
        <w:tabs>
          <w:tab w:val="clear" w:pos="567"/>
          <w:tab w:val="clear" w:pos="851"/>
          <w:tab w:val="left" w:pos="-3119" w:leader="none"/>
          <w:tab w:val="left" w:pos="1418" w:leader="none"/>
        </w:tabs>
        <w:ind w:hanging="0" w:start="0" w:end="0"/>
        <w:rPr>
          <w:szCs w:val="22"/>
          <w:lang w:val="en-US" w:eastAsia="en-US"/>
        </w:rPr>
      </w:pPr>
      <w:r>
        <w:rPr>
          <w:bCs/>
          <w:szCs w:val="22"/>
          <w:lang w:val="en-US" w:eastAsia="en-US"/>
        </w:rPr>
        <w:t xml:space="preserve">Une visite sur site avant la remise de l’offre est obligatoire. Elle porte sur quatre sites représentatifs : le groupe scolaire Robespierre, le centre de santé, l’Embarcadère et la crèche Ethel Rosenberg. Elle a pour objet de constater l’état et les caractéristiques des vitrages et de vérifier les surfaces indiquées pour ces sites à l’annexe 1 au CCTP. La visite de tout autre bâtiment de l’annexe 1 est organisée sur demande du candidat, présentée au plus tard dix jours avant la date limite de remise des offres.</w:t>
      </w:r>
      <w:r>
        <w:rPr>
          <w:b/>
          <w:szCs w:val="22"/>
          <w:u w:val="single"/>
          <w:lang w:val="en-US" w:eastAsia="en-US"/>
        </w:rPr>
        <w:t/>
      </w:r>
      <w:r>
        <w:rPr>
          <w:szCs w:val="22"/>
          <w:lang w:val="en-US" w:eastAsia="en-US"/>
        </w:rPr>
        <w:t xml:space="preserve"/>
      </w:r>
    </w:p>
    <w:p>
      <w:pPr>
        <w:pStyle w:val="Normal2"/>
        <w:tabs>
          <w:tab w:val="clear" w:pos="567"/>
          <w:tab w:val="clear" w:pos="851"/>
          <w:tab w:val="left" w:pos="-3119" w:leader="none"/>
          <w:tab w:val="left" w:pos="1418" w:leader="none"/>
        </w:tabs>
        <w:ind w:hanging="0" w:start="0" w:end="0"/>
        <w:rPr>
          <w:szCs w:val="22"/>
          <w:lang w:val="en-US" w:eastAsia="en-US"/>
        </w:rPr>
      </w:pPr>
      <w:r>
        <w:rPr>
          <w:bCs/>
          <w:szCs w:val="22"/>
          <w:lang w:val="en-US" w:eastAsia="en-US"/>
        </w:rPr>
        <w:t/>
      </w:r>
    </w:p>
    <w:p>
      <w:pPr>
        <w:pStyle w:val="Normal2"/>
        <w:tabs>
          <w:tab w:val="clear" w:pos="567"/>
          <w:tab w:val="clear" w:pos="851"/>
          <w:tab w:val="left" w:pos="-3119" w:leader="none"/>
          <w:tab w:val="left" w:pos="1418" w:leader="none"/>
        </w:tabs>
        <w:ind w:hanging="0" w:start="0" w:end="0"/>
        <w:rPr>
          <w:szCs w:val="22"/>
          <w:lang w:val="en-US" w:eastAsia="en-US"/>
        </w:rPr>
      </w:pPr>
      <w:r>
        <w:rPr>
          <w:bCs/>
          <w:szCs w:val="22"/>
          <w:lang w:val="en-US" w:eastAsia="en-US"/>
        </w:rPr>
        <w:t>Hors les sites pour lesquels l’annexe 1 au CCTP indique la nacelle ou les travaux sur cordes, le mode d’accès des bâtiments est au choix du titulaire. Le candidat détermine, après la visite et sous sa seule responsabilité, les moyens d’accès qu’il fournira pour chacun d’eux (échelle, perche, nacelle, travail sur cordes), conformément à l’article 3.6 du CCTP. Ces moyens sont compris dans les prix de son offre, et aucun supplément ne peut être réclamé au titre d’un moyen d’accès.</w:t>
      </w:r>
    </w:p>
    <w:p>
      <w:pPr>
        <w:pStyle w:val="Normal2"/>
        <w:tabs>
          <w:tab w:val="clear" w:pos="567"/>
          <w:tab w:val="clear" w:pos="851"/>
          <w:tab w:val="left" w:pos="-3119" w:leader="none"/>
          <w:tab w:val="left" w:pos="1418" w:leader="none"/>
        </w:tabs>
        <w:ind w:hanging="0" w:start="0" w:end="0"/>
        <w:rPr>
          <w:szCs w:val="22"/>
          <w:lang w:val="en-US" w:eastAsia="en-US"/>
        </w:rPr>
      </w:pPr>
      <w:r>
        <w:rPr>
          <w:szCs w:val="22"/>
          <w:lang w:val="en-US" w:eastAsia="en-US"/>
        </w:rPr>
      </w:r>
    </w:p>
    <w:p>
      <w:pPr>
        <w:pStyle w:val="Normal2"/>
        <w:tabs>
          <w:tab w:val="clear" w:pos="567"/>
          <w:tab w:val="clear" w:pos="851"/>
          <w:tab w:val="left" w:pos="-3119" w:leader="none"/>
          <w:tab w:val="left" w:pos="1418" w:leader="none"/>
        </w:tabs>
        <w:ind w:hanging="0" w:start="0" w:end="0"/>
        <w:rPr>
          <w:szCs w:val="22"/>
          <w:lang w:val="en-US" w:eastAsia="en-US"/>
        </w:rPr>
      </w:pPr>
      <w:r>
        <w:rPr>
          <w:szCs w:val="22"/>
          <w:lang w:val="en-US" w:eastAsia="en-US"/>
        </w:rPr>
        <w:t>Pour effectuer cette visite, les candidats prennent rendez-vous par courriel auprès de M. Mohamed LAFER (mohamed.lafer@mairie-aubervilliers.fr), en copie de la direction des achats et de la commande publique (commandepublique@mairie-aubervilliers.fr), au plus tard dix jours avant la date limite de remise des offres. Les visites ont lieu au plus tard cinq jours ouvrés avant cette date. À l’issue de la visite, l’attestation de visite est signée par la direction des achats et de la commande publique, dans ses locaux. Une offre remise sans attestation de visite signée est irrégulière.</w:t>
      </w:r>
    </w:p>
    <w:p>
      <w:pPr>
        <w:pStyle w:val="Normal"/>
        <w:jc w:val="both"/>
        <w:rPr>
          <w:sz w:val="22"/>
          <w:szCs w:val="22"/>
        </w:rPr>
      </w:pPr>
      <w:r>
        <w:rPr>
          <w:sz w:val="22"/>
          <w:szCs w:val="22"/>
          <w:lang w:val="en-US" w:eastAsia="en-US"/>
        </w:rPr>
      </w:r>
    </w:p>
    <w:p>
      <w:pPr>
        <w:pStyle w:val="Heading1"/>
        <w:keepNext/>
        <w:ind w:firstLine="24" w:start="0" w:end="0"/>
        <w:jc w:val="left"/>
      </w:pPr>
      <w:r>
        <w:rPr>
          <w:rFonts w:ascii="Times New Roman" w:hAnsi="Times New Roman" w:cs="Times New Roman"/>
          <w:b/>
          <w:bCs/>
          <w:color w:val="000000"/>
          <w:sz w:val="24"/>
          <w:szCs w:val="24"/>
          <w:u w:val="none"/>
        </w:rPr>
        <w:t xml:space="preserve">ARTICLE 3 – MODALITÉS D’OBTENTION DU DOSSIER DE CONSULTATION DES ENTREPRISES</w:t>
      </w:r>
    </w:p>
    <w:p>
      <w:pPr>
        <w:pStyle w:val="BodyText"/>
        <w:keepNext/>
        <w:rPr>
          <w:b/>
          <w:bCs/>
          <w:sz w:val="22"/>
          <w:szCs w:val="22"/>
          <w:u w:val="single"/>
        </w:rPr>
      </w:pPr>
      <w:r>
        <w:rPr>
          <w:b/>
          <w:bCs/>
          <w:sz w:val="22"/>
          <w:szCs w:val="22"/>
          <w:u w:val="single"/>
        </w:rPr>
      </w:r>
    </w:p>
    <w:p>
      <w:pPr>
        <w:pStyle w:val="Normal"/>
        <w:jc w:val="both"/>
        <w:rPr>
          <w:sz w:val="22"/>
          <w:szCs w:val="22"/>
        </w:rPr>
      </w:pPr>
      <w:r>
        <w:rPr>
          <w:iCs/>
          <w:color w:val="000000"/>
          <w:sz w:val="22"/>
          <w:szCs w:val="22"/>
        </w:rPr>
        <w:t>Le Dossier de consultation des entreprises (D.C.E.), peut être gratuitement téléchargé sur le site :</w:t>
      </w:r>
      <w:r>
        <w:rPr>
          <w:b/>
          <w:iCs/>
          <w:color w:val="000000"/>
          <w:sz w:val="22"/>
          <w:szCs w:val="22"/>
        </w:rPr>
        <w:t xml:space="preserve"> </w:t>
      </w:r>
      <w:hyperlink r:id="rId7">
        <w:r>
          <w:rPr>
            <w:rStyle w:val="Hyperlink"/>
            <w:sz w:val="22"/>
            <w:szCs w:val="22"/>
          </w:rPr>
          <w:t>https://www.maximilien.fr</w:t>
        </w:r>
      </w:hyperlink>
    </w:p>
    <w:p>
      <w:pPr>
        <w:pStyle w:val="Normal"/>
        <w:jc w:val="both"/>
        <w:rPr>
          <w:sz w:val="22"/>
          <w:szCs w:val="22"/>
        </w:rPr>
      </w:pPr>
      <w:r>
        <w:rPr>
          <w:iCs/>
          <w:color w:val="000000"/>
          <w:sz w:val="22"/>
          <w:szCs w:val="22"/>
        </w:rPr>
        <w:t/>
      </w:r>
    </w:p>
    <w:p>
      <w:pPr>
        <w:pStyle w:val="Normal"/>
        <w:jc w:val="both"/>
        <w:rPr>
          <w:sz w:val="22"/>
          <w:szCs w:val="22"/>
        </w:rPr>
      </w:pPr>
      <w:r>
        <w:rPr>
          <w:iCs/>
          <w:color w:val="000000"/>
          <w:sz w:val="22"/>
          <w:szCs w:val="22"/>
        </w:rPr>
        <w:t>Le dossier de consultation comprend les pièces suivantes :</w:t>
      </w:r>
    </w:p>
    <w:p>
      <w:pPr>
        <w:pStyle w:val="Normal"/>
        <w:jc w:val="both"/>
        <w:rPr>
          <w:sz w:val="22"/>
          <w:szCs w:val="22"/>
        </w:rPr>
      </w:pPr>
      <w:r>
        <w:rPr>
          <w:iCs/>
          <w:color w:val="000000"/>
          <w:sz w:val="22"/>
          <w:szCs w:val="22"/>
        </w:rPr>
        <w:t>le présent règlement de la consultation ;</w:t>
      </w:r>
    </w:p>
    <w:p>
      <w:pPr>
        <w:pStyle w:val="Normal"/>
        <w:jc w:val="both"/>
        <w:rPr>
          <w:sz w:val="22"/>
          <w:szCs w:val="22"/>
        </w:rPr>
      </w:pPr>
      <w:r>
        <w:rPr>
          <w:iCs/>
          <w:color w:val="000000"/>
          <w:sz w:val="22"/>
          <w:szCs w:val="22"/>
        </w:rPr>
        <w:t>l’acte d’engagement (AE-DMG-01-26) ;</w:t>
      </w:r>
    </w:p>
    <w:p>
      <w:pPr>
        <w:pStyle w:val="Normal"/>
        <w:jc w:val="both"/>
        <w:rPr>
          <w:sz w:val="22"/>
          <w:szCs w:val="22"/>
        </w:rPr>
      </w:pPr>
      <w:r>
        <w:rPr>
          <w:iCs/>
          <w:color w:val="000000"/>
          <w:sz w:val="22"/>
          <w:szCs w:val="22"/>
        </w:rPr>
        <w:t>le classeur de prix, qui porte la décomposition du prix global et forfaitaire et le bordereau des prix unitaires (DPGF-BPU-DMG-01-26) ;</w:t>
      </w:r>
    </w:p>
    <w:p>
      <w:pPr>
        <w:pStyle w:val="Normal"/>
        <w:jc w:val="both"/>
        <w:rPr>
          <w:sz w:val="22"/>
          <w:szCs w:val="22"/>
        </w:rPr>
      </w:pPr>
      <w:r>
        <w:rPr>
          <w:iCs/>
          <w:color w:val="000000"/>
          <w:sz w:val="22"/>
          <w:szCs w:val="22"/>
        </w:rPr>
        <w:t>le cahier des clauses administratives particulières (CCAP) ;</w:t>
      </w:r>
    </w:p>
    <w:p>
      <w:pPr>
        <w:pStyle w:val="Normal"/>
        <w:jc w:val="both"/>
        <w:rPr>
          <w:sz w:val="22"/>
          <w:szCs w:val="22"/>
        </w:rPr>
      </w:pPr>
      <w:r>
        <w:rPr>
          <w:iCs/>
          <w:color w:val="000000"/>
          <w:sz w:val="22"/>
          <w:szCs w:val="22"/>
        </w:rPr>
        <w:t>le cahier des clauses techniques particulières (CCTP) et ses trois annexes : la liste des bâtiments (ANNEXE-1-CCTP-DMG-01-26), la fiche d’exécution des prestations et le plan de prévention ;</w:t>
      </w:r>
    </w:p>
    <w:p>
      <w:pPr>
        <w:pStyle w:val="Normal"/>
        <w:jc w:val="both"/>
        <w:rPr>
          <w:sz w:val="22"/>
          <w:szCs w:val="22"/>
        </w:rPr>
      </w:pPr>
      <w:r>
        <w:rPr>
          <w:iCs/>
          <w:color w:val="000000"/>
          <w:sz w:val="22"/>
          <w:szCs w:val="22"/>
        </w:rPr>
        <w:t>le cadre du mémoire technique et le cadre de note environnementale ;</w:t>
      </w:r>
    </w:p>
    <w:p>
      <w:pPr>
        <w:pStyle w:val="Normal"/>
        <w:jc w:val="both"/>
        <w:rPr>
          <w:sz w:val="22"/>
          <w:szCs w:val="22"/>
        </w:rPr>
      </w:pPr>
      <w:r>
        <w:rPr>
          <w:iCs/>
          <w:color w:val="000000"/>
          <w:sz w:val="22"/>
          <w:szCs w:val="22"/>
        </w:rPr>
        <w:t>l’attestation de visite ;</w:t>
      </w:r>
    </w:p>
    <w:p>
      <w:pPr>
        <w:pStyle w:val="Normal"/>
        <w:jc w:val="both"/>
        <w:rPr>
          <w:sz w:val="22"/>
          <w:szCs w:val="22"/>
        </w:rPr>
      </w:pPr>
      <w:r>
        <w:rPr>
          <w:iCs/>
          <w:color w:val="000000"/>
          <w:sz w:val="22"/>
          <w:szCs w:val="22"/>
        </w:rPr>
        <w:t>la carte des sites (CARTE-SITES-DMG-01-26), document d’information, la liste des bâtiments de l’annexe 1 au CCTP faisant seule foi.</w:t>
      </w:r>
    </w:p>
    <w:p>
      <w:pPr>
        <w:pStyle w:val="Normal"/>
        <w:jc w:val="both"/>
        <w:rPr>
          <w:sz w:val="22"/>
          <w:szCs w:val="22"/>
        </w:rPr>
      </w:pPr>
      <w:r>
        <w:rPr>
          <w:sz w:val="22"/>
          <w:szCs w:val="22"/>
        </w:rPr>
      </w:r>
    </w:p>
    <w:p>
      <w:pPr>
        <w:pStyle w:val="Normal"/>
        <w:jc w:val="both"/>
        <w:rPr>
          <w:sz w:val="22"/>
          <w:szCs w:val="22"/>
        </w:rPr>
      </w:pPr>
      <w:r>
        <w:rPr>
          <w:sz w:val="22"/>
          <w:szCs w:val="22"/>
        </w:rPr>
      </w:r>
    </w:p>
    <w:p>
      <w:pPr>
        <w:pStyle w:val="Normal"/>
        <w:jc w:val="both"/>
        <w:rPr>
          <w:sz w:val="22"/>
          <w:szCs w:val="22"/>
        </w:rPr>
      </w:pPr>
      <w:r>
        <w:rPr>
          <w:sz w:val="22"/>
          <w:szCs w:val="22"/>
        </w:rPr>
      </w:r>
    </w:p>
    <w:p>
      <w:pPr>
        <w:pStyle w:val="Normal"/>
        <w:jc w:val="both"/>
        <w:rPr>
          <w:sz w:val="22"/>
          <w:szCs w:val="22"/>
        </w:rPr>
      </w:pPr>
      <w:r>
        <w:rPr>
          <w:sz w:val="22"/>
          <w:szCs w:val="22"/>
        </w:rPr>
      </w:r>
    </w:p>
    <w:p>
      <w:pPr>
        <w:pStyle w:val="Normal"/>
        <w:jc w:val="both"/>
        <w:rPr>
          <w:sz w:val="22"/>
          <w:szCs w:val="22"/>
        </w:rPr>
      </w:pPr>
      <w:r>
        <w:rPr>
          <w:sz w:val="22"/>
          <w:szCs w:val="22"/>
        </w:rPr>
      </w:r>
    </w:p>
    <w:p>
      <w:pPr>
        <w:pStyle w:val="Normal"/>
        <w:jc w:val="both"/>
        <w:rPr>
          <w:sz w:val="22"/>
          <w:szCs w:val="22"/>
        </w:rPr>
      </w:pPr>
      <w:r>
        <w:rPr>
          <w:sz w:val="22"/>
          <w:szCs w:val="22"/>
        </w:rPr>
      </w:r>
    </w:p>
    <w:p>
      <w:pPr>
        <w:pStyle w:val="BodyText"/>
        <w:keepNext/>
        <w:jc w:val="left"/>
      </w:pPr>
      <w:r>
        <w:rPr>
          <w:rFonts w:ascii="Times New Roman" w:hAnsi="Times New Roman" w:cs="Times New Roman"/>
          <w:b/>
          <w:bCs/>
          <w:color w:val="000000"/>
          <w:sz w:val="24"/>
          <w:szCs w:val="24"/>
          <w:u w:val="none"/>
        </w:rPr>
        <w:t xml:space="preserve">ARTICLE 4 – CONTENU DES PLIS (CANDIDATURES ET OFFRES)</w:t>
      </w:r>
    </w:p>
    <w:p>
      <w:pPr>
        <w:pStyle w:val="BodyText"/>
        <w:keepNext/>
        <w:rPr>
          <w:b/>
          <w:bCs/>
          <w:sz w:val="22"/>
          <w:szCs w:val="22"/>
          <w:u w:val="single"/>
        </w:rPr>
      </w:pPr>
      <w:r>
        <w:rPr>
          <w:b/>
          <w:bCs/>
          <w:sz w:val="22"/>
          <w:szCs w:val="22"/>
          <w:u w:val="single"/>
        </w:rPr>
      </w:r>
    </w:p>
    <w:p>
      <w:pPr>
        <w:pStyle w:val="Normal"/>
        <w:jc w:val="both"/>
        <w:rPr>
          <w:sz w:val="22"/>
          <w:szCs w:val="22"/>
        </w:rPr>
      </w:pPr>
      <w:r>
        <w:rPr>
          <w:sz w:val="22"/>
          <w:szCs w:val="22"/>
        </w:rPr>
      </w:r>
    </w:p>
    <w:p>
      <w:pPr>
        <w:pStyle w:val="Normal"/>
        <w:widowControl w:val="false"/>
        <w:jc w:val="both"/>
        <w:rPr>
          <w:sz w:val="22"/>
          <w:szCs w:val="22"/>
        </w:rPr>
      </w:pPr>
      <w:r>
        <w:rPr>
          <w:b/>
          <w:sz w:val="22"/>
          <w:szCs w:val="22"/>
        </w:rPr>
        <w:t>En aucun cas la signature électronique du dossier d’offre n’est obligatoire au stade de la candidature. Il est d’ailleurs préconisé que l’accord-cadre soit signé avec l’attributaire en fin de procédure.</w:t>
      </w:r>
    </w:p>
    <w:p>
      <w:pPr>
        <w:pStyle w:val="Normal"/>
        <w:widowControl w:val="false"/>
        <w:jc w:val="both"/>
        <w:rPr>
          <w:sz w:val="22"/>
          <w:szCs w:val="22"/>
        </w:rPr>
      </w:pPr>
      <w:r>
        <w:rPr>
          <w:sz w:val="22"/>
          <w:szCs w:val="22"/>
        </w:rPr>
      </w:r>
    </w:p>
    <w:p>
      <w:pPr>
        <w:pStyle w:val="Normal"/>
        <w:widowControl w:val="false"/>
        <w:jc w:val="both"/>
        <w:rPr>
          <w:sz w:val="22"/>
          <w:szCs w:val="22"/>
        </w:rPr>
      </w:pPr>
      <w:r>
        <w:rPr>
          <w:sz w:val="22"/>
          <w:szCs w:val="22"/>
        </w:rPr>
        <w:t>Toutefois, si le candidat décide de signer son offre lors du dépôt de son dossier, il est rappelé que le signataire doit être habilité à engager le candidat.</w:t>
      </w:r>
    </w:p>
    <w:p>
      <w:pPr>
        <w:pStyle w:val="Normal"/>
        <w:widowControl w:val="false"/>
        <w:jc w:val="both"/>
        <w:rPr>
          <w:sz w:val="22"/>
          <w:szCs w:val="22"/>
        </w:rPr>
      </w:pPr>
      <w:r>
        <w:rPr>
          <w:sz w:val="22"/>
          <w:szCs w:val="22"/>
        </w:rPr>
        <w:t>Tous les documents constituant ou accompagnant l’offre doivent être rédigés en français, ou traduits en français s’ils émanent d’une autorité étrangère.</w:t>
      </w:r>
    </w:p>
    <w:p>
      <w:pPr>
        <w:pStyle w:val="Normal"/>
        <w:widowControl w:val="false"/>
        <w:jc w:val="both"/>
        <w:rPr>
          <w:sz w:val="22"/>
          <w:szCs w:val="22"/>
        </w:rPr>
      </w:pPr>
      <w:r>
        <w:rPr>
          <w:sz w:val="22"/>
          <w:szCs w:val="22"/>
        </w:rPr>
        <w:t>Le dossier à remettre par chaque candidat comportera les éléments suivants.</w:t>
      </w:r>
    </w:p>
    <w:p>
      <w:pPr>
        <w:pStyle w:val="Normal"/>
        <w:jc w:val="both"/>
        <w:rPr>
          <w:sz w:val="22"/>
          <w:szCs w:val="22"/>
        </w:rPr>
      </w:pPr>
      <w:r>
        <w:rPr>
          <w:sz w:val="22"/>
          <w:szCs w:val="22"/>
        </w:rPr>
      </w:r>
    </w:p>
    <w:p>
      <w:pPr>
        <w:pStyle w:val="Normal"/>
        <w:keepNext/>
        <w:jc w:val="left"/>
      </w:pPr>
      <w:r>
        <w:rPr>
          <w:rFonts w:ascii="Times New Roman" w:hAnsi="Times New Roman" w:cs="Times New Roman"/>
          <w:b/>
          <w:bCs/>
          <w:color w:val="000000"/>
          <w:sz w:val="24"/>
          <w:szCs w:val="24"/>
          <w:u w:val="none"/>
        </w:rPr>
        <w:t xml:space="preserve">4.1. Éléments de la candidature</w:t>
      </w:r>
    </w:p>
    <w:p>
      <w:pPr>
        <w:pStyle w:val="Normal"/>
        <w:keepNext/>
        <w:jc w:val="both"/>
        <w:rPr>
          <w:sz w:val="22"/>
          <w:szCs w:val="22"/>
        </w:rPr>
      </w:pPr>
      <w:r>
        <w:rPr>
          <w:sz w:val="22"/>
          <w:szCs w:val="22"/>
        </w:rPr>
      </w:r>
    </w:p>
    <w:p>
      <w:pPr>
        <w:pStyle w:val="Normal"/>
        <w:widowControl w:val="false"/>
        <w:jc w:val="both"/>
        <w:rPr>
          <w:iCs/>
          <w:sz w:val="22"/>
          <w:szCs w:val="22"/>
        </w:rPr>
      </w:pPr>
      <w:r>
        <w:rPr>
          <w:iCs/>
          <w:sz w:val="22"/>
          <w:szCs w:val="22"/>
        </w:rPr>
        <w:t>Les candidats devront remettre les documents suivants :</w:t>
      </w:r>
    </w:p>
    <w:p>
      <w:pPr>
        <w:pStyle w:val="Normal"/>
        <w:widowControl w:val="false"/>
        <w:jc w:val="both"/>
        <w:rPr>
          <w:iCs/>
          <w:sz w:val="22"/>
          <w:szCs w:val="22"/>
        </w:rPr>
      </w:pPr>
      <w:r>
        <w:rPr>
          <w:iCs/>
          <w:sz w:val="22"/>
          <w:szCs w:val="22"/>
        </w:rPr>
      </w:r>
    </w:p>
    <w:p>
      <w:pPr>
        <w:pStyle w:val="Normal"/>
        <w:widowControl w:val="false"/>
        <w:jc w:val="both"/>
        <w:rPr>
          <w:iCs/>
          <w:sz w:val="22"/>
          <w:szCs w:val="22"/>
        </w:rPr>
      </w:pPr>
      <w:r>
        <w:rPr>
          <w:iCs/>
          <w:sz w:val="22"/>
          <w:szCs w:val="22"/>
        </w:rPr>
        <w:t xml:space="preserve">- </w:t>
      </w:r>
      <w:r>
        <w:rPr>
          <w:b/>
          <w:bCs/>
          <w:iCs/>
          <w:sz w:val="22"/>
          <w:szCs w:val="22"/>
        </w:rPr>
        <w:t xml:space="preserve">Le </w:t>
      </w:r>
      <w:r>
        <w:rPr>
          <w:b/>
          <w:iCs/>
          <w:sz w:val="22"/>
          <w:szCs w:val="22"/>
        </w:rPr>
        <w:t>formulaire DC1</w:t>
      </w:r>
      <w:r>
        <w:rPr>
          <w:iCs/>
          <w:sz w:val="22"/>
          <w:szCs w:val="22"/>
        </w:rPr>
        <w:t xml:space="preserve"> « Lettre de candidature – Habilitation du mandataire par ses co-traitants » dûment complété, daté et </w:t>
      </w:r>
      <w:r>
        <w:rPr>
          <w:sz w:val="22"/>
          <w:szCs w:val="22"/>
        </w:rPr>
        <w:t>signé en original</w:t>
      </w:r>
      <w:r>
        <w:rPr>
          <w:iCs/>
          <w:sz w:val="22"/>
          <w:szCs w:val="22"/>
        </w:rPr>
        <w:t xml:space="preserve"> ; </w:t>
      </w:r>
    </w:p>
    <w:p>
      <w:pPr>
        <w:pStyle w:val="Normal"/>
        <w:widowControl w:val="false"/>
        <w:jc w:val="both"/>
        <w:rPr>
          <w:iCs/>
          <w:sz w:val="22"/>
          <w:szCs w:val="22"/>
        </w:rPr>
      </w:pPr>
      <w:r>
        <w:rPr>
          <w:iCs/>
          <w:sz w:val="22"/>
          <w:szCs w:val="22"/>
        </w:rPr>
      </w:r>
    </w:p>
    <w:p>
      <w:pPr>
        <w:pStyle w:val="Normal"/>
        <w:widowControl w:val="false"/>
        <w:jc w:val="both"/>
        <w:rPr>
          <w:b/>
          <w:sz w:val="22"/>
          <w:szCs w:val="22"/>
        </w:rPr>
      </w:pPr>
      <w:r>
        <w:rPr>
          <w:iCs/>
          <w:sz w:val="22"/>
          <w:szCs w:val="22"/>
        </w:rPr>
        <w:t xml:space="preserve">- </w:t>
      </w:r>
      <w:r>
        <w:rPr>
          <w:b/>
          <w:bCs/>
          <w:iCs/>
          <w:sz w:val="22"/>
          <w:szCs w:val="22"/>
        </w:rPr>
        <w:t xml:space="preserve">Le </w:t>
      </w:r>
      <w:r>
        <w:rPr>
          <w:b/>
          <w:iCs/>
          <w:sz w:val="22"/>
          <w:szCs w:val="22"/>
        </w:rPr>
        <w:t>formulaire DC2</w:t>
      </w:r>
      <w:r>
        <w:rPr>
          <w:iCs/>
          <w:sz w:val="22"/>
          <w:szCs w:val="22"/>
        </w:rPr>
        <w:t xml:space="preserve"> « Déclaration du candidat individuel ou du membre du groupement » dûment complété ;</w:t>
      </w:r>
    </w:p>
    <w:p>
      <w:pPr>
        <w:pStyle w:val="Normal"/>
        <w:widowControl w:val="false"/>
        <w:jc w:val="center"/>
        <w:rPr>
          <w:b/>
          <w:sz w:val="22"/>
          <w:szCs w:val="22"/>
        </w:rPr>
      </w:pPr>
      <w:r>
        <w:rPr>
          <w:b/>
          <w:sz w:val="22"/>
          <w:szCs w:val="22"/>
        </w:rPr>
        <w:t>Ou</w:t>
      </w:r>
    </w:p>
    <w:p>
      <w:pPr>
        <w:pStyle w:val="Normal"/>
        <w:widowControl w:val="false"/>
        <w:jc w:val="both"/>
        <w:rPr>
          <w:sz w:val="22"/>
          <w:szCs w:val="22"/>
        </w:rPr>
      </w:pPr>
      <w:r>
        <w:rPr>
          <w:b/>
          <w:sz w:val="22"/>
          <w:szCs w:val="22"/>
        </w:rPr>
        <w:t>- Le formulaire e-DUME ;</w:t>
      </w:r>
    </w:p>
    <w:p>
      <w:pPr>
        <w:pStyle w:val="Normal"/>
        <w:widowControl w:val="false"/>
        <w:jc w:val="both"/>
        <w:rPr>
          <w:sz w:val="22"/>
          <w:szCs w:val="22"/>
        </w:rPr>
      </w:pPr>
      <w:r>
        <w:rPr>
          <w:sz w:val="22"/>
          <w:szCs w:val="22"/>
        </w:rPr>
      </w:r>
    </w:p>
    <w:p>
      <w:pPr>
        <w:pStyle w:val="Normal"/>
        <w:widowControl w:val="false"/>
        <w:jc w:val="both"/>
        <w:rPr>
          <w:sz w:val="22"/>
          <w:szCs w:val="22"/>
        </w:rPr>
      </w:pPr>
      <w:r>
        <w:rPr>
          <w:sz w:val="22"/>
          <w:szCs w:val="22"/>
        </w:rPr>
        <w:t>-</w:t>
      </w:r>
      <w:r>
        <w:rPr>
          <w:b/>
          <w:sz w:val="22"/>
          <w:szCs w:val="22"/>
        </w:rPr>
        <w:t xml:space="preserve"> </w:t>
      </w:r>
      <w:r>
        <w:rPr>
          <w:sz w:val="22"/>
          <w:szCs w:val="22"/>
        </w:rPr>
        <w:t>Le cas échéant, une copie du ou des jugements prononcés, si le candidat est en redressement judiciaire, l’autorisant à poursuivre son activité dans la période d’exécution de l’accord-cadre.</w:t>
      </w:r>
    </w:p>
    <w:p>
      <w:pPr>
        <w:pStyle w:val="Normal"/>
        <w:widowControl w:val="false"/>
        <w:jc w:val="both"/>
        <w:rPr>
          <w:sz w:val="22"/>
          <w:szCs w:val="22"/>
        </w:rPr>
      </w:pPr>
      <w:r>
        <w:rPr>
          <w:sz w:val="22"/>
          <w:szCs w:val="22"/>
        </w:rPr>
      </w:r>
    </w:p>
    <w:p>
      <w:pPr>
        <w:pStyle w:val="Normal"/>
        <w:widowControl w:val="false"/>
        <w:jc w:val="both"/>
        <w:rPr>
          <w:iCs/>
          <w:sz w:val="22"/>
          <w:szCs w:val="22"/>
        </w:rPr>
      </w:pPr>
      <w:r>
        <w:rPr>
          <w:iCs/>
          <w:sz w:val="22"/>
          <w:szCs w:val="22"/>
        </w:rPr>
        <w:t>-</w:t>
      </w:r>
      <w:r>
        <w:rPr>
          <w:b/>
          <w:iCs/>
          <w:sz w:val="22"/>
          <w:szCs w:val="22"/>
        </w:rPr>
        <w:t xml:space="preserve"> Les candidats devront également fournir : </w:t>
      </w:r>
    </w:p>
    <w:p>
      <w:pPr>
        <w:pStyle w:val="Retraitcorpsdetexte31"/>
        <w:widowControl w:val="false"/>
        <w:numPr>
          <w:ilvl w:val="0"/>
          <w:numId w:val="3"/>
        </w:numPr>
        <w:tabs>
          <w:tab w:val="clear" w:pos="709"/>
          <w:tab w:val="left" w:pos="-1440" w:leader="none"/>
        </w:tabs>
        <w:jc w:val="both"/>
        <w:rPr>
          <w:rFonts w:ascii="Times New Roman" w:hAnsi="Times New Roman" w:cs="Times New Roman"/>
          <w:iCs/>
          <w:shadow w:val="false"/>
          <w:sz w:val="22"/>
          <w:szCs w:val="22"/>
        </w:rPr>
      </w:pPr>
      <w:r>
        <w:rPr>
          <w:rFonts w:cs="Times New Roman" w:ascii="Times New Roman" w:hAnsi="Times New Roman"/>
          <w:iCs/>
          <w:shadow w:val="false"/>
          <w:sz w:val="22"/>
          <w:szCs w:val="22"/>
        </w:rPr>
        <w:t>Une déclaration indiquant les effectifs moyens annuels du candidat pour chacune des trois dernières années ;</w:t>
      </w:r>
      <w:r>
        <w:rPr>
          <w:rFonts w:cs="Times New Roman" w:ascii="Times New Roman" w:hAnsi="Times New Roman"/>
          <w:iCs/>
          <w:shadow w:val="false"/>
          <w:color w:val="000000"/>
          <w:sz w:val="22"/>
          <w:szCs w:val="22"/>
        </w:rPr>
        <w:t xml:space="preserve"> </w:t>
      </w:r>
    </w:p>
    <w:p>
      <w:pPr>
        <w:pStyle w:val="Retraitcorpsdetexte31"/>
        <w:widowControl w:val="false"/>
        <w:numPr>
          <w:ilvl w:val="0"/>
          <w:numId w:val="3"/>
        </w:numPr>
        <w:tabs>
          <w:tab w:val="clear" w:pos="709"/>
          <w:tab w:val="left" w:pos="-1440" w:leader="none"/>
        </w:tabs>
        <w:jc w:val="both"/>
        <w:rPr>
          <w:rFonts w:ascii="Times New Roman" w:hAnsi="Times New Roman" w:cs="Times New Roman"/>
          <w:iCs/>
          <w:shadow w:val="false"/>
          <w:sz w:val="22"/>
          <w:szCs w:val="22"/>
        </w:rPr>
      </w:pPr>
      <w:r>
        <w:rPr>
          <w:rFonts w:cs="Times New Roman" w:ascii="Times New Roman" w:hAnsi="Times New Roman"/>
          <w:iCs/>
          <w:shadow w:val="false"/>
          <w:sz w:val="22"/>
          <w:szCs w:val="22"/>
        </w:rPr>
        <w:t xml:space="preserve">Une déclaration indiquant le matériel et l’équipement technique dont le fournisseur dispose ; </w:t>
      </w:r>
    </w:p>
    <w:p>
      <w:pPr>
        <w:pStyle w:val="Retraitcorpsdetexte31"/>
        <w:widowControl w:val="false"/>
        <w:numPr>
          <w:ilvl w:val="0"/>
          <w:numId w:val="3"/>
        </w:numPr>
        <w:tabs>
          <w:tab w:val="clear" w:pos="709"/>
          <w:tab w:val="left" w:pos="-1440" w:leader="none"/>
        </w:tabs>
        <w:jc w:val="both"/>
        <w:rPr>
          <w:rFonts w:ascii="Times New Roman" w:hAnsi="Times New Roman" w:cs="Times New Roman"/>
          <w:iCs/>
          <w:sz w:val="22"/>
          <w:szCs w:val="22"/>
        </w:rPr>
      </w:pPr>
      <w:r>
        <w:rPr>
          <w:rFonts w:cs="Times New Roman" w:ascii="Times New Roman" w:hAnsi="Times New Roman"/>
          <w:iCs/>
          <w:shadow w:val="false"/>
          <w:sz w:val="22"/>
          <w:szCs w:val="22"/>
        </w:rPr>
        <w:t>Une liste des principales références concernant des prestations similaires à l’objet du présent contrat, effectuées au cours des trois dernières années.</w:t>
      </w:r>
    </w:p>
    <w:p>
      <w:pPr>
        <w:pStyle w:val="Retraitcorpsdetexte31"/>
        <w:widowControl w:val="false"/>
        <w:numPr>
          <w:ilvl w:val="0"/>
          <w:numId w:val="3"/>
        </w:numPr>
        <w:tabs>
          <w:tab w:val="clear" w:pos="709"/>
          <w:tab w:val="left" w:pos="-1440" w:leader="none"/>
        </w:tabs>
        <w:jc w:val="both"/>
        <w:rPr>
          <w:rFonts w:ascii="Times New Roman" w:hAnsi="Times New Roman" w:cs="Times New Roman"/>
          <w:iCs/>
          <w:sz w:val="22"/>
          <w:szCs w:val="22"/>
        </w:rPr>
      </w:pPr>
      <w:r>
        <w:rPr>
          <w:rFonts w:cs="Times New Roman" w:ascii="Times New Roman" w:hAnsi="Times New Roman"/>
          <w:iCs/>
          <w:shadow w:val="false"/>
          <w:sz w:val="22"/>
          <w:szCs w:val="22"/>
        </w:rPr>
        <w:t>Les différents certificats professionnels, en particulier, pour la conduite des nacelles, le CACES R486 (certificat d’aptitude à la conduite en sécurité des plates-formes élévatrices mobiles de personnes) ou équivalent et, pour les travaux sur cordes, le CQP cordiste (certificat de qualification professionnelle) ou équivalent, détenus par le personnel du candidat ou de son sous-traitant. Les références et les certificats d’un sous-traitant sont admis pour les prestations qu’il exécutera.</w:t>
      </w:r>
    </w:p>
    <w:p>
      <w:pPr>
        <w:pStyle w:val="Normal"/>
        <w:rPr>
          <w:iCs/>
          <w:sz w:val="22"/>
          <w:szCs w:val="22"/>
        </w:rPr>
      </w:pPr>
      <w:r>
        <w:rPr>
          <w:rFonts w:cs="Times New Roman" w:ascii="Times New Roman" w:hAnsi="Times New Roman"/>
          <w:iCs/>
          <w:sz w:val="22"/>
          <w:szCs w:val="22"/>
        </w:rPr>
      </w:r>
    </w:p>
    <w:p>
      <w:pPr>
        <w:pStyle w:val="Normal"/>
        <w:jc w:val="both"/>
        <w:rPr>
          <w:b/>
          <w:bCs/>
          <w:sz w:val="22"/>
          <w:szCs w:val="22"/>
        </w:rPr>
      </w:pPr>
      <w:r>
        <w:rPr>
          <w:b/>
          <w:bCs/>
          <w:sz w:val="22"/>
          <w:szCs w:val="22"/>
        </w:rPr>
        <w:t xml:space="preserve">Documents à produire électroniquement dans tous les cas au stade de l'attribution de l’accord-cadre : </w:t>
      </w:r>
    </w:p>
    <w:p>
      <w:pPr>
        <w:pStyle w:val="Normal"/>
        <w:jc w:val="both"/>
        <w:rPr>
          <w:b/>
          <w:bCs/>
          <w:sz w:val="22"/>
          <w:szCs w:val="22"/>
        </w:rPr>
      </w:pPr>
      <w:r>
        <w:rPr>
          <w:b/>
          <w:bCs/>
          <w:sz w:val="22"/>
          <w:szCs w:val="22"/>
        </w:rPr>
      </w:r>
    </w:p>
    <w:p>
      <w:pPr>
        <w:pStyle w:val="Normal"/>
        <w:jc w:val="both"/>
        <w:rPr>
          <w:iCs/>
          <w:color w:val="000000"/>
          <w:sz w:val="22"/>
          <w:szCs w:val="22"/>
          <w:lang w:val="en-US" w:eastAsia="en-US"/>
        </w:rPr>
      </w:pPr>
      <w:r>
        <w:rPr>
          <w:iCs/>
          <w:color w:val="000000"/>
          <w:sz w:val="22"/>
          <w:szCs w:val="22"/>
          <w:lang w:val="en-US" w:eastAsia="en-US"/>
        </w:rPr>
        <w:t>S'ils s'appuient, pour présenter leur candidature, sur les capacités professionnelles, techniques et financières d'autres opérateurs économiques, les mêmes documents concernant cet opérateur économique que ceux qui leur sont exigés par l'acheteur public. Les candidats doivent également apporter la preuve que chacun de ces opérateurs économiques mettra à sa disposition les moyens nécessaires, pendant toute la durée d'exécution de l’accord-cadre.</w:t>
      </w:r>
    </w:p>
    <w:p>
      <w:pPr>
        <w:pStyle w:val="Normal"/>
        <w:jc w:val="both"/>
        <w:rPr>
          <w:iCs/>
          <w:color w:val="000000"/>
          <w:sz w:val="22"/>
          <w:szCs w:val="22"/>
          <w:lang w:val="en-US" w:eastAsia="en-US"/>
        </w:rPr>
      </w:pPr>
      <w:r>
        <w:rPr>
          <w:iCs/>
          <w:color w:val="000000"/>
          <w:sz w:val="22"/>
          <w:szCs w:val="22"/>
          <w:lang w:val="en-US" w:eastAsia="en-US"/>
        </w:rPr>
      </w:r>
    </w:p>
    <w:p>
      <w:pPr>
        <w:pStyle w:val="Normal"/>
        <w:spacing w:before="0" w:after="120"/>
        <w:rPr>
          <w:bCs/>
          <w:sz w:val="22"/>
          <w:szCs w:val="22"/>
        </w:rPr>
      </w:pPr>
      <w:r>
        <w:rPr>
          <w:bCs/>
          <w:sz w:val="22"/>
          <w:szCs w:val="22"/>
        </w:rPr>
        <w:t>En application de l’article R2144-4 du Code de la commande publique, le candidat auquel il est envisagé d'attribuer le marché produira :</w:t>
      </w:r>
    </w:p>
    <w:p>
      <w:pPr>
        <w:pStyle w:val="Normal"/>
        <w:numPr>
          <w:ilvl w:val="0"/>
          <w:numId w:val="8"/>
        </w:numPr>
        <w:jc w:val="both"/>
        <w:rPr>
          <w:bCs/>
          <w:sz w:val="22"/>
          <w:szCs w:val="22"/>
        </w:rPr>
      </w:pPr>
      <w:r>
        <w:rPr>
          <w:bCs/>
          <w:sz w:val="22"/>
          <w:szCs w:val="22"/>
        </w:rPr>
        <w:t xml:space="preserve">Une attestation de fourniture des déclarations sociales et de paiement des cotisations et contributions de sécurité sociale, prévue à l’article L. 243-15 du Code de sécurité sociale, émanant de l'organisme de protection sociale chargé du recouvrement des cotisations et des contributions </w:t>
      </w:r>
      <w:r>
        <w:rPr>
          <w:bCs/>
          <w:sz w:val="22"/>
          <w:szCs w:val="22"/>
          <w:u w:val="single"/>
        </w:rPr>
        <w:t>datant de moins de 6 mois</w:t>
      </w:r>
      <w:r>
        <w:rPr>
          <w:bCs/>
          <w:sz w:val="22"/>
          <w:szCs w:val="22"/>
        </w:rPr>
        <w:t xml:space="preserve"> </w:t>
      </w:r>
      <w:r>
        <w:rPr>
          <w:bCs/>
          <w:i/>
          <w:sz w:val="22"/>
          <w:szCs w:val="22"/>
        </w:rPr>
        <w:t>(articles D. 8222-5, 1° du Code du travail</w:t>
        <w:t/>
        <w:t xml:space="preserve"> et D. 243-15 du Code de sécurité sociale)</w:t>
      </w:r>
      <w:r>
        <w:rPr>
          <w:bCs/>
          <w:sz w:val="22"/>
          <w:szCs w:val="22"/>
        </w:rPr>
        <w:t>.</w:t>
      </w:r>
    </w:p>
    <w:p>
      <w:pPr>
        <w:pStyle w:val="Normal"/>
        <w:jc w:val="both"/>
        <w:rPr>
          <w:bCs/>
          <w:sz w:val="22"/>
          <w:szCs w:val="22"/>
        </w:rPr>
      </w:pPr>
      <w:r>
        <w:rPr>
          <w:bCs/>
          <w:sz w:val="22"/>
          <w:szCs w:val="22"/>
        </w:rPr>
        <w:t>Le pouvoir adjudicateur s’assurera de l’authenticité de cette attestation, auprès de l’organisme de recouvrement des cotisations de sécurité sociale.</w:t>
      </w:r>
    </w:p>
    <w:p>
      <w:pPr>
        <w:pStyle w:val="Normal"/>
        <w:numPr>
          <w:ilvl w:val="0"/>
          <w:numId w:val="7"/>
        </w:numPr>
        <w:jc w:val="both"/>
        <w:rPr>
          <w:bCs/>
          <w:sz w:val="22"/>
          <w:szCs w:val="22"/>
        </w:rPr>
      </w:pPr>
      <w:r>
        <w:rPr>
          <w:bCs/>
          <w:sz w:val="22"/>
          <w:szCs w:val="22"/>
        </w:rPr>
        <w:t xml:space="preserve">Les attestations et certificats délivrés par les administrations et organismes compétents prouvant que les obligations fiscales et sociales ont été satisfaites </w:t>
      </w:r>
      <w:r>
        <w:rPr>
          <w:bCs/>
          <w:sz w:val="22"/>
          <w:szCs w:val="22"/>
          <w:u w:val="single"/>
        </w:rPr>
        <w:t>ou</w:t>
      </w:r>
      <w:r>
        <w:rPr>
          <w:bCs/>
          <w:sz w:val="22"/>
          <w:szCs w:val="22"/>
        </w:rPr>
        <w:t xml:space="preserve"> l’état annuel des certificats reçus.</w:t>
      </w:r>
    </w:p>
    <w:p>
      <w:pPr>
        <w:pStyle w:val="Normal"/>
        <w:jc w:val="both"/>
        <w:rPr>
          <w:bCs/>
          <w:sz w:val="22"/>
          <w:szCs w:val="22"/>
        </w:rPr>
      </w:pPr>
      <w:r>
        <w:rPr>
          <w:bCs/>
          <w:sz w:val="22"/>
          <w:szCs w:val="22"/>
        </w:rPr>
      </w:r>
    </w:p>
    <w:p>
      <w:pPr>
        <w:pStyle w:val="Normal"/>
        <w:jc w:val="both"/>
        <w:rPr>
          <w:bCs/>
          <w:sz w:val="22"/>
          <w:szCs w:val="22"/>
        </w:rPr>
      </w:pPr>
      <w:r>
        <w:rPr>
          <w:bCs/>
          <w:sz w:val="22"/>
          <w:szCs w:val="22"/>
        </w:rPr>
        <w:t>Dans le cas où l'immatriculation de l’entreprise au Registre du Commerce et des Sociétés (RCS) ou au Répertoire des Métiers (RM) est obligatoire, ou lorsqu'il s'agit d'une profession réglementée, l'un des documents suivants </w:t>
      </w:r>
      <w:r>
        <w:rPr>
          <w:bCs/>
          <w:i/>
          <w:sz w:val="22"/>
          <w:szCs w:val="22"/>
        </w:rPr>
        <w:t>(article D. 8222-5, 2° du Code du travail)</w:t>
      </w:r>
      <w:r>
        <w:rPr>
          <w:bCs/>
          <w:sz w:val="22"/>
          <w:szCs w:val="22"/>
        </w:rPr>
        <w:t> :</w:t>
      </w:r>
    </w:p>
    <w:p>
      <w:pPr>
        <w:pStyle w:val="Normal"/>
        <w:numPr>
          <w:ilvl w:val="0"/>
          <w:numId w:val="6"/>
        </w:numPr>
        <w:jc w:val="both"/>
        <w:rPr>
          <w:bCs/>
          <w:sz w:val="22"/>
          <w:szCs w:val="22"/>
        </w:rPr>
      </w:pPr>
      <w:r>
        <w:rPr>
          <w:bCs/>
          <w:sz w:val="22"/>
          <w:szCs w:val="22"/>
        </w:rPr>
        <w:t xml:space="preserve">Un extrait de l'inscription au RCS (K ou K-bis), délivré par les services du greffe du tribunal de commerce et </w:t>
      </w:r>
      <w:r>
        <w:rPr>
          <w:bCs/>
          <w:sz w:val="22"/>
          <w:szCs w:val="22"/>
          <w:u w:val="single"/>
        </w:rPr>
        <w:t>datant de moins de 3 mois</w:t>
      </w:r>
      <w:r>
        <w:rPr>
          <w:bCs/>
          <w:sz w:val="22"/>
          <w:szCs w:val="22"/>
        </w:rPr>
        <w:t>.</w:t>
      </w:r>
    </w:p>
    <w:p>
      <w:pPr>
        <w:pStyle w:val="Normal"/>
        <w:numPr>
          <w:ilvl w:val="0"/>
          <w:numId w:val="6"/>
        </w:numPr>
        <w:jc w:val="both"/>
        <w:rPr>
          <w:bCs/>
          <w:sz w:val="22"/>
          <w:szCs w:val="22"/>
        </w:rPr>
      </w:pPr>
      <w:r>
        <w:rPr>
          <w:bCs/>
          <w:sz w:val="22"/>
          <w:szCs w:val="22"/>
        </w:rPr>
        <w:t>Une carte d'identification justifiant de l'inscription au RM.</w:t>
      </w:r>
    </w:p>
    <w:p>
      <w:pPr>
        <w:pStyle w:val="Normal"/>
        <w:numPr>
          <w:ilvl w:val="0"/>
          <w:numId w:val="6"/>
        </w:numPr>
        <w:jc w:val="both"/>
        <w:rPr>
          <w:bCs/>
          <w:sz w:val="22"/>
          <w:szCs w:val="22"/>
        </w:rPr>
      </w:pPr>
      <w:r>
        <w:rPr>
          <w:bCs/>
          <w:sz w:val="22"/>
          <w:szCs w:val="22"/>
        </w:rPr>
        <w:t>Un devis, un document publicitaire ou une correspondance professionnelle, à condition qu’y soient mentionnés le nom ou la dénomination sociale, l’adresse complète et le numéro d’immatriculation au RCS ou au RM ou à une liste ou un tableau d’un ordre professionnel, ou la référence de l’agrément délivré par l’autorité compétente.</w:t>
      </w:r>
    </w:p>
    <w:p>
      <w:pPr>
        <w:pStyle w:val="Normal"/>
        <w:numPr>
          <w:ilvl w:val="0"/>
          <w:numId w:val="6"/>
        </w:numPr>
        <w:jc w:val="both"/>
        <w:rPr>
          <w:b/>
          <w:bCs/>
          <w:sz w:val="22"/>
          <w:szCs w:val="22"/>
        </w:rPr>
      </w:pPr>
      <w:r>
        <w:rPr>
          <w:bCs/>
          <w:sz w:val="22"/>
          <w:szCs w:val="22"/>
        </w:rPr>
        <w:t>Un récépissé du dépôt de déclaration auprès d'un centre de formalités des entreprises pour les personnes en cours d'inscription.</w:t>
      </w:r>
    </w:p>
    <w:p>
      <w:pPr>
        <w:pStyle w:val="Normal"/>
        <w:jc w:val="both"/>
        <w:rPr>
          <w:b/>
          <w:bCs/>
          <w:sz w:val="22"/>
          <w:szCs w:val="22"/>
        </w:rPr>
      </w:pPr>
      <w:r>
        <w:rPr>
          <w:b/>
          <w:bCs/>
          <w:sz w:val="22"/>
          <w:szCs w:val="22"/>
        </w:rPr>
      </w:r>
    </w:p>
    <w:p>
      <w:pPr>
        <w:pStyle w:val="Normal"/>
        <w:jc w:val="both"/>
        <w:rPr>
          <w:bCs/>
          <w:sz w:val="22"/>
          <w:szCs w:val="22"/>
        </w:rPr>
      </w:pPr>
      <w:r>
        <w:rPr>
          <w:bCs/>
          <w:sz w:val="22"/>
          <w:szCs w:val="22"/>
        </w:rPr>
        <w:t>Ces documents devront être fournis par le candidat, dans un délai de sept (7) jours, à compter de sa réception de la demande par la Ville d’Aubervilliers.</w:t>
      </w:r>
    </w:p>
    <w:p>
      <w:pPr>
        <w:pStyle w:val="Normal"/>
        <w:jc w:val="both"/>
        <w:rPr>
          <w:bCs/>
          <w:sz w:val="22"/>
          <w:szCs w:val="22"/>
        </w:rPr>
      </w:pPr>
      <w:r>
        <w:rPr>
          <w:bCs/>
          <w:sz w:val="22"/>
          <w:szCs w:val="22"/>
        </w:rPr>
      </w:r>
    </w:p>
    <w:p>
      <w:pPr>
        <w:pStyle w:val="Normal"/>
        <w:jc w:val="both"/>
        <w:rPr>
          <w:bCs/>
          <w:sz w:val="22"/>
          <w:szCs w:val="22"/>
        </w:rPr>
      </w:pPr>
      <w:r>
        <w:rPr>
          <w:bCs/>
          <w:sz w:val="22"/>
          <w:szCs w:val="22"/>
        </w:rPr>
        <w:t>Dans le cas où le candidat ne remettrait pas les documents dans le délai imparti son offre sera rejetée. Dans cette hypothèse, l’accord-cadre sera attribué au candidat ayant présenté l’offre économiquement plus avantageuse suivante, sous réserve que ce dernier produise les certificats et attestations requises.</w:t>
      </w:r>
    </w:p>
    <w:p>
      <w:pPr>
        <w:pStyle w:val="Normal"/>
        <w:jc w:val="both"/>
        <w:rPr>
          <w:bCs/>
          <w:sz w:val="22"/>
          <w:szCs w:val="22"/>
        </w:rPr>
      </w:pPr>
      <w:r>
        <w:rPr>
          <w:bCs/>
          <w:sz w:val="22"/>
          <w:szCs w:val="22"/>
        </w:rPr>
        <w:t>En cas de co-traitance, chaque co-traitant doit transmettre les mêmes documents que ceux mentionnés ci-dessus, à l’exception du DC1 rempli par le mandataire et signé par le(s) co-traitant(s).</w:t>
      </w:r>
    </w:p>
    <w:p>
      <w:pPr>
        <w:pStyle w:val="Normal"/>
        <w:jc w:val="both"/>
        <w:rPr>
          <w:bCs/>
          <w:sz w:val="22"/>
          <w:szCs w:val="22"/>
        </w:rPr>
      </w:pPr>
      <w:r>
        <w:rPr>
          <w:bCs/>
          <w:sz w:val="22"/>
          <w:szCs w:val="22"/>
        </w:rPr>
        <w:t>D’autre part, en cas d’appartenance à un groupe, le candidat est invité à préciser le nom de celui-ci et s’il utilise les moyens de ce dernier</w:t>
      </w:r>
    </w:p>
    <w:p>
      <w:pPr>
        <w:pStyle w:val="Normal"/>
        <w:jc w:val="both"/>
        <w:rPr>
          <w:bCs/>
          <w:sz w:val="22"/>
          <w:szCs w:val="22"/>
        </w:rPr>
      </w:pPr>
      <w:r>
        <w:rPr>
          <w:bCs/>
          <w:sz w:val="22"/>
          <w:szCs w:val="22"/>
        </w:rPr>
      </w:r>
    </w:p>
    <w:p>
      <w:pPr>
        <w:pStyle w:val="Normal"/>
        <w:keepNext/>
        <w:jc w:val="left"/>
      </w:pPr>
      <w:r>
        <w:rPr>
          <w:rFonts w:ascii="Times New Roman" w:hAnsi="Times New Roman" w:cs="Times New Roman"/>
          <w:b/>
          <w:bCs/>
          <w:color w:val="000000"/>
          <w:sz w:val="24"/>
          <w:szCs w:val="24"/>
          <w:u w:val="none"/>
        </w:rPr>
        <w:t>4.1.1. Possibilité d’utiliser le document unique de marché européen</w:t>
      </w:r>
    </w:p>
    <w:p>
      <w:pPr>
        <w:pStyle w:val="Normal"/>
        <w:keepNext/>
        <w:jc w:val="both"/>
        <w:rPr>
          <w:b/>
          <w:bCs/>
          <w:i/>
          <w:sz w:val="22"/>
          <w:szCs w:val="22"/>
          <w:u w:val="single"/>
        </w:rPr>
      </w:pPr>
      <w:r>
        <w:rPr>
          <w:b/>
          <w:bCs/>
          <w:i/>
          <w:sz w:val="22"/>
          <w:szCs w:val="22"/>
          <w:u w:val="single"/>
        </w:rPr>
      </w:r>
    </w:p>
    <w:p>
      <w:pPr>
        <w:pStyle w:val="Normal"/>
        <w:jc w:val="both"/>
        <w:rPr>
          <w:b/>
          <w:bCs/>
          <w:i/>
          <w:sz w:val="22"/>
          <w:szCs w:val="22"/>
          <w:u w:val="single"/>
        </w:rPr>
      </w:pPr>
      <w:r>
        <w:rPr>
          <w:bCs/>
          <w:sz w:val="22"/>
          <w:szCs w:val="22"/>
        </w:rPr>
        <w:t xml:space="preserve">Dans le cadre de la présente procédure de mise en concurrence, le pouvoir adjudicateur accepte que le candidat présente sa candidature sur la base d’un Document Unique de Marché Européen électronique (e-DUME), rédigé en français et établi conformément au modèle fixé par le règlement de la Commission européenne établissant le formulaire type pour le document unique de marché européen susvisé, en lieu et place des documents mentionnés à l’article R2143-4 du Code de la commande publique. A cette fin, les candidats peuvent se rendre à l’adresse suivante : </w:t>
      </w:r>
      <w:hyperlink r:id="rId8">
        <w:r>
          <w:rPr>
            <w:rStyle w:val="Hyperlink"/>
            <w:sz w:val="22"/>
            <w:szCs w:val="22"/>
          </w:rPr>
          <w:t>https://dume.chorus-pro.gouv.fr/</w:t>
        </w:r>
      </w:hyperlink>
    </w:p>
    <w:p>
      <w:pPr>
        <w:pStyle w:val="Normal"/>
        <w:jc w:val="both"/>
        <w:rPr>
          <w:b/>
          <w:bCs/>
          <w:i/>
          <w:sz w:val="22"/>
          <w:szCs w:val="22"/>
          <w:u w:val="single"/>
        </w:rPr>
      </w:pPr>
      <w:r>
        <w:rPr>
          <w:b/>
          <w:bCs/>
          <w:i/>
          <w:sz w:val="22"/>
          <w:szCs w:val="22"/>
          <w:u w:val="single"/>
        </w:rPr>
      </w:r>
    </w:p>
    <w:p>
      <w:pPr>
        <w:pStyle w:val="Normal"/>
        <w:keepNext/>
        <w:jc w:val="left"/>
      </w:pPr>
      <w:r>
        <w:rPr>
          <w:rFonts w:ascii="Times New Roman" w:hAnsi="Times New Roman" w:cs="Times New Roman"/>
          <w:b/>
          <w:bCs/>
          <w:color w:val="000000"/>
          <w:sz w:val="24"/>
          <w:szCs w:val="24"/>
          <w:u w:val="none"/>
        </w:rPr>
        <w:t xml:space="preserve">4.1.2. Candidats soumissionnant pour la première fois à un marché public pour la Ville d’Aubervilliers</w:t>
      </w:r>
    </w:p>
    <w:p>
      <w:pPr>
        <w:pStyle w:val="Normal"/>
        <w:keepNext/>
        <w:jc w:val="both"/>
        <w:rPr>
          <w:b/>
          <w:bCs/>
          <w:sz w:val="22"/>
          <w:szCs w:val="22"/>
          <w:u w:val="single"/>
        </w:rPr>
      </w:pPr>
      <w:r>
        <w:rPr>
          <w:b/>
          <w:bCs/>
          <w:sz w:val="22"/>
          <w:szCs w:val="22"/>
          <w:u w:val="single"/>
        </w:rPr>
      </w:r>
    </w:p>
    <w:p>
      <w:pPr>
        <w:pStyle w:val="Normal"/>
        <w:jc w:val="both"/>
        <w:rPr>
          <w:bCs/>
          <w:sz w:val="22"/>
          <w:szCs w:val="22"/>
        </w:rPr>
      </w:pPr>
      <w:r>
        <w:rPr>
          <w:bCs/>
          <w:sz w:val="22"/>
          <w:szCs w:val="22"/>
        </w:rPr>
        <w:t>Les candidats doivent impérativement fournir les formulaires DC1 et DC2 ou e-DUME. Les candidats ont la possibilité d’indiquer dans leur dossier la base de données ou l’espace de stockage numérique gratuit dans lequel le pouvoir adjudicateur pourra obtenir les documents et renseignements susmentionnés, conformément à l’article R. 2143-13 du code de la commande publique. Dans un tel cas, il est demandé aux candidats de préciser dans un document spécifique les modalités d’accès à ces éléments.</w:t>
      </w:r>
    </w:p>
    <w:p>
      <w:pPr>
        <w:pStyle w:val="Normal"/>
        <w:jc w:val="both"/>
        <w:rPr>
          <w:bCs/>
          <w:sz w:val="22"/>
          <w:szCs w:val="22"/>
        </w:rPr>
      </w:pPr>
      <w:r>
        <w:rPr>
          <w:bCs/>
          <w:sz w:val="22"/>
          <w:szCs w:val="22"/>
        </w:rPr>
      </w:r>
    </w:p>
    <w:p>
      <w:pPr>
        <w:pStyle w:val="Normal"/>
        <w:keepNext/>
        <w:jc w:val="left"/>
      </w:pPr>
      <w:r>
        <w:rPr>
          <w:rFonts w:ascii="Times New Roman" w:hAnsi="Times New Roman" w:cs="Times New Roman"/>
          <w:b/>
          <w:bCs/>
          <w:color w:val="000000"/>
          <w:sz w:val="24"/>
          <w:szCs w:val="24"/>
          <w:u w:val="none"/>
        </w:rPr>
        <w:t xml:space="preserve">4.1.3. Candidats ayant déjà soumissionné à un marché public pour la Ville d’Aubervilliers</w:t>
      </w:r>
    </w:p>
    <w:p>
      <w:pPr>
        <w:pStyle w:val="Normal"/>
        <w:keepNext/>
        <w:jc w:val="both"/>
        <w:rPr>
          <w:b/>
          <w:bCs/>
          <w:sz w:val="22"/>
          <w:szCs w:val="22"/>
          <w:u w:val="single"/>
        </w:rPr>
      </w:pPr>
      <w:r>
        <w:rPr>
          <w:b/>
          <w:bCs/>
          <w:sz w:val="22"/>
          <w:szCs w:val="22"/>
          <w:u w:val="single"/>
        </w:rPr>
      </w:r>
    </w:p>
    <w:p>
      <w:pPr>
        <w:pStyle w:val="Normal"/>
        <w:jc w:val="both"/>
        <w:rPr>
          <w:bCs/>
          <w:sz w:val="22"/>
          <w:szCs w:val="22"/>
        </w:rPr>
      </w:pPr>
      <w:r>
        <w:rPr>
          <w:bCs/>
          <w:sz w:val="22"/>
          <w:szCs w:val="22"/>
        </w:rPr>
        <w:t>En application de l’article R. 2143-14 du code de la commande publique, qui pose le principe du « dites-le nous une fois », les candidats ayant déjà soumissionné à un marché public pour la ville sont dispensés de fournir tous les documents et renseignements sus mentionnés relatifs à la candidature.</w:t>
      </w:r>
    </w:p>
    <w:p>
      <w:pPr>
        <w:pStyle w:val="Normal"/>
        <w:jc w:val="both"/>
        <w:rPr>
          <w:bCs/>
          <w:sz w:val="22"/>
          <w:szCs w:val="22"/>
        </w:rPr>
      </w:pPr>
      <w:r>
        <w:rPr>
          <w:bCs/>
          <w:sz w:val="22"/>
          <w:szCs w:val="22"/>
        </w:rPr>
        <w:t xml:space="preserve">Néanmoins, les candidats ne sont pas exonérés de fournir les formulaires DC1 et DC2 ou e-DUME. </w:t>
      </w:r>
    </w:p>
    <w:p>
      <w:pPr>
        <w:pStyle w:val="Normal"/>
        <w:jc w:val="both"/>
        <w:rPr>
          <w:bCs/>
          <w:sz w:val="22"/>
          <w:szCs w:val="22"/>
        </w:rPr>
      </w:pPr>
      <w:r>
        <w:rPr>
          <w:bCs/>
          <w:sz w:val="22"/>
          <w:szCs w:val="22"/>
        </w:rPr>
        <w:t xml:space="preserve">Afin de permettre au pouvoir adjudicateur de retrouver les dits documents fournis à l’occasion d’un ou plusieurs précédent(s) marché(s), les candidats doivent indiquer dans un document spécifique : </w:t>
      </w:r>
    </w:p>
    <w:p>
      <w:pPr>
        <w:pStyle w:val="Normal"/>
        <w:numPr>
          <w:ilvl w:val="1"/>
          <w:numId w:val="5"/>
        </w:numPr>
        <w:jc w:val="both"/>
        <w:rPr>
          <w:bCs/>
          <w:sz w:val="22"/>
          <w:szCs w:val="22"/>
        </w:rPr>
      </w:pPr>
      <w:r>
        <w:rPr>
          <w:bCs/>
          <w:sz w:val="22"/>
          <w:szCs w:val="22"/>
        </w:rPr>
        <w:t>L’objet et la référence du ou des dit(s) marché(s) en précisant le ou les année(s) concernée(s)</w:t>
      </w:r>
    </w:p>
    <w:p>
      <w:pPr>
        <w:pStyle w:val="Normal"/>
        <w:jc w:val="both"/>
        <w:rPr>
          <w:bCs/>
          <w:sz w:val="22"/>
          <w:szCs w:val="22"/>
        </w:rPr>
      </w:pPr>
      <w:r>
        <w:rPr>
          <w:bCs/>
          <w:sz w:val="22"/>
          <w:szCs w:val="22"/>
        </w:rPr>
        <w:t>et/ou</w:t>
      </w:r>
    </w:p>
    <w:p>
      <w:pPr>
        <w:pStyle w:val="Normal"/>
        <w:numPr>
          <w:ilvl w:val="1"/>
          <w:numId w:val="5"/>
        </w:numPr>
        <w:jc w:val="both"/>
        <w:rPr>
          <w:bCs/>
          <w:sz w:val="22"/>
          <w:szCs w:val="22"/>
          <w:u w:val="single"/>
        </w:rPr>
      </w:pPr>
      <w:r>
        <w:rPr>
          <w:bCs/>
          <w:sz w:val="22"/>
          <w:szCs w:val="22"/>
        </w:rPr>
        <w:t>Le site internet, la base de données ou l’espace de stockage numérique gratuit au sein duquel sont disponibles les documents.</w:t>
      </w:r>
    </w:p>
    <w:p>
      <w:pPr>
        <w:pStyle w:val="Normal"/>
        <w:jc w:val="both"/>
        <w:rPr>
          <w:bCs/>
          <w:sz w:val="22"/>
          <w:szCs w:val="22"/>
        </w:rPr>
      </w:pPr>
      <w:r>
        <w:rPr>
          <w:bCs/>
          <w:sz w:val="22"/>
          <w:szCs w:val="22"/>
          <w:u w:val="single"/>
        </w:rPr>
        <w:t>Important :</w:t>
      </w:r>
      <w:r>
        <w:rPr>
          <w:bCs/>
          <w:sz w:val="22"/>
          <w:szCs w:val="22"/>
        </w:rPr>
        <w:t xml:space="preserve"> il appartient aux candidats de vérifier que les dits documents précédemment fournis demeurent valables.</w:t>
      </w:r>
    </w:p>
    <w:p>
      <w:pPr>
        <w:pStyle w:val="Normal"/>
        <w:jc w:val="both"/>
        <w:rPr>
          <w:sz w:val="22"/>
          <w:szCs w:val="22"/>
        </w:rPr>
      </w:pPr>
      <w:r>
        <w:rPr>
          <w:bCs/>
          <w:sz w:val="22"/>
          <w:szCs w:val="22"/>
        </w:rPr>
        <w:t>Les formulaires et autres déclarations types sont consultables et téléchargeables sur le site de la direction des affaires juridiques du ministère de l’économie à partir du lien :</w:t>
      </w:r>
      <w:r>
        <w:rPr>
          <w:bCs/>
          <w:sz w:val="22"/>
          <w:szCs w:val="22"/>
          <w:u w:val="single"/>
        </w:rPr>
        <w:t xml:space="preserve"> </w:t>
      </w:r>
    </w:p>
    <w:p>
      <w:pPr>
        <w:pStyle w:val="Normal"/>
        <w:jc w:val="both"/>
        <w:rPr>
          <w:sz w:val="22"/>
          <w:szCs w:val="22"/>
        </w:rPr>
      </w:pPr>
      <w:hyperlink r:id="rId9">
        <w:r>
          <w:rPr>
            <w:rStyle w:val="Hyperlink"/>
            <w:sz w:val="22"/>
            <w:szCs w:val="22"/>
          </w:rPr>
          <w:t>http://www.economie.gouv.fr/daj/formulaires</w:t>
        </w:r>
      </w:hyperlink>
    </w:p>
    <w:p>
      <w:pPr>
        <w:pStyle w:val="Normal"/>
        <w:keepNext/>
        <w:spacing w:before="240" w:after="60"/>
        <w:jc w:val="left"/>
      </w:pPr>
      <w:r>
        <w:rPr>
          <w:rFonts w:ascii="Times New Roman" w:hAnsi="Times New Roman" w:cs="Times New Roman"/>
          <w:b/>
          <w:bCs/>
          <w:color w:val="000000"/>
          <w:sz w:val="24"/>
          <w:szCs w:val="24"/>
          <w:u w:val="none"/>
        </w:rPr>
        <w:t xml:space="preserve">4.2. Éléments de l’offre</w:t>
      </w:r>
    </w:p>
    <w:p>
      <w:pPr>
        <w:pStyle w:val="Normal"/>
        <w:keepNext/>
        <w:jc w:val="both"/>
        <w:rPr>
          <w:iCs/>
          <w:color w:val="000000"/>
          <w:sz w:val="22"/>
          <w:szCs w:val="22"/>
          <w:lang w:val="en-US" w:eastAsia="en-US"/>
        </w:rPr>
      </w:pPr>
      <w:r>
        <w:rPr>
          <w:rFonts w:eastAsia="Times New Roman" w:ascii="Times New Roman" w:hAnsi="Times New Roman" w:cs="Times New Roman"/>
          <w:b/>
          <w:iCs/>
          <w:color w:val="000000"/>
          <w:sz w:val="22"/>
          <w:szCs w:val="22"/>
          <w:lang w:val="en-US" w:eastAsia="en-US"/>
        </w:rPr>
      </w:r>
    </w:p>
    <w:p>
      <w:pPr>
        <w:pStyle w:val="Normal"/>
        <w:jc w:val="both"/>
        <w:rPr>
          <w:b/>
          <w:bCs/>
          <w:sz w:val="22"/>
          <w:szCs w:val="22"/>
        </w:rPr>
      </w:pPr>
      <w:r>
        <w:rPr>
          <w:iCs/>
          <w:color w:val="000000"/>
          <w:sz w:val="22"/>
          <w:szCs w:val="22"/>
          <w:lang w:val="en-US" w:eastAsia="en-US"/>
        </w:rPr>
        <w:t xml:space="preserve">L’offre devra obligatoirement comporter les documents suivants : </w:t>
      </w:r>
    </w:p>
    <w:p>
      <w:pPr>
        <w:pStyle w:val="Normal"/>
        <w:jc w:val="both"/>
        <w:rPr>
          <w:b/>
          <w:bCs/>
          <w:sz w:val="22"/>
          <w:szCs w:val="22"/>
        </w:rPr>
      </w:pPr>
      <w:r>
        <w:rPr>
          <w:b/>
          <w:bCs/>
          <w:sz w:val="22"/>
          <w:szCs w:val="22"/>
        </w:rPr>
      </w:r>
    </w:p>
    <w:p>
      <w:pPr>
        <w:pStyle w:val="Normal"/>
        <w:jc w:val="both"/>
        <w:rPr>
          <w:sz w:val="22"/>
          <w:szCs w:val="22"/>
        </w:rPr>
      </w:pPr>
      <w:r>
        <w:rPr>
          <w:b/>
          <w:bCs/>
          <w:sz w:val="22"/>
          <w:szCs w:val="22"/>
          <w:u w:val="single"/>
        </w:rPr>
        <w:t>L’acte d’engagement, dûment complété, tamponné, daté sans aucune modification ni réserve</w:t>
      </w:r>
      <w:r>
        <w:rPr>
          <w:sz w:val="22"/>
          <w:szCs w:val="22"/>
        </w:rPr>
        <w:t xml:space="preserve"> ; </w:t>
      </w:r>
    </w:p>
    <w:p>
      <w:pPr>
        <w:pStyle w:val="Normal"/>
        <w:jc w:val="both"/>
        <w:rPr>
          <w:sz w:val="22"/>
          <w:szCs w:val="22"/>
        </w:rPr>
      </w:pPr>
      <w:r>
        <w:rPr>
          <w:sz w:val="22"/>
          <w:szCs w:val="22"/>
        </w:rPr>
      </w:r>
    </w:p>
    <w:p>
      <w:pPr>
        <w:pStyle w:val="Normal"/>
        <w:jc w:val="both"/>
        <w:rPr>
          <w:sz w:val="22"/>
          <w:szCs w:val="22"/>
        </w:rPr>
      </w:pPr>
      <w:r>
        <w:rPr>
          <w:b/>
          <w:sz w:val="22"/>
          <w:szCs w:val="22"/>
          <w:u w:val="single"/>
        </w:rPr>
        <w:t>L’attestation de visite, obligatoire, signée par la direction des achats et de la commande publique</w:t>
      </w:r>
      <w:r>
        <w:rPr>
          <w:sz w:val="22"/>
          <w:szCs w:val="22"/>
        </w:rPr>
        <w:t xml:space="preserve"> ; </w:t>
      </w:r>
    </w:p>
    <w:p>
      <w:pPr>
        <w:pStyle w:val="Normal"/>
        <w:jc w:val="both"/>
        <w:rPr>
          <w:sz w:val="22"/>
          <w:szCs w:val="22"/>
        </w:rPr>
      </w:pPr>
      <w:r>
        <w:rPr>
          <w:sz w:val="22"/>
          <w:szCs w:val="22"/>
        </w:rPr>
      </w:r>
    </w:p>
    <w:p>
      <w:pPr>
        <w:pStyle w:val="Normal"/>
        <w:jc w:val="center"/>
        <w:rPr>
          <w:b/>
          <w:color w:val="000000"/>
          <w:sz w:val="22"/>
          <w:szCs w:val="22"/>
          <w:u w:val="single"/>
        </w:rPr>
      </w:pPr>
      <w:r>
        <w:rPr>
          <w:b/>
          <w:color w:val="000000"/>
          <w:sz w:val="22"/>
          <w:szCs w:val="22"/>
          <w:u w:val="single"/>
        </w:rPr>
        <w:t>Une offre remise sans attestation de visite signée est irrégulière.</w:t>
      </w:r>
    </w:p>
    <w:p>
      <w:pPr>
        <w:pStyle w:val="Normal"/>
        <w:jc w:val="both"/>
        <w:rPr>
          <w:b/>
          <w:bCs/>
          <w:sz w:val="22"/>
          <w:szCs w:val="22"/>
          <w:u w:val="single"/>
        </w:rPr>
      </w:pPr>
      <w:r>
        <w:rPr>
          <w:b/>
          <w:bCs/>
          <w:color w:val="000000"/>
          <w:sz w:val="22"/>
          <w:szCs w:val="22"/>
          <w:u w:val="single"/>
        </w:rPr>
      </w:r>
    </w:p>
    <w:p>
      <w:pPr>
        <w:pStyle w:val="Normal"/>
        <w:jc w:val="both"/>
        <w:rPr>
          <w:sz w:val="22"/>
          <w:szCs w:val="22"/>
        </w:rPr>
      </w:pPr>
      <w:r>
        <w:rPr>
          <w:b/>
          <w:bCs/>
          <w:sz w:val="22"/>
          <w:szCs w:val="22"/>
          <w:u w:val="single"/>
        </w:rPr>
        <w:t>La décomposition du prix global et forfaitaire (DPGF) et le bordereau des prix unitaires (BPU), feuilles du classeur DPGF-BPU-DMG-01-26, dûment complétés, sans aucune modification ni réserve (annexe 1 à l’acte d’engagement) ;</w:t>
      </w:r>
      <w:r>
        <w:rPr>
          <w:sz w:val="22"/>
          <w:szCs w:val="22"/>
        </w:rPr>
        <w:t xml:space="preserve"> </w:t>
      </w:r>
    </w:p>
    <w:p>
      <w:pPr>
        <w:pStyle w:val="Normal"/>
        <w:jc w:val="both"/>
        <w:rPr>
          <w:sz w:val="22"/>
          <w:szCs w:val="22"/>
        </w:rPr>
      </w:pPr>
      <w:r>
        <w:rPr>
          <w:sz w:val="22"/>
          <w:szCs w:val="22"/>
        </w:rPr>
      </w:r>
    </w:p>
    <w:p>
      <w:pPr>
        <w:pStyle w:val="BodyText"/>
        <w:rPr>
          <w:sz w:val="22"/>
          <w:szCs w:val="22"/>
        </w:rPr>
      </w:pPr>
      <w:r>
        <w:rPr>
          <w:b/>
          <w:bCs/>
          <w:sz w:val="22"/>
          <w:szCs w:val="22"/>
          <w:u w:val="single"/>
        </w:rPr>
        <w:t>La note technique et environnementale, sur la base du cadre fourni, qui traite des sous-critères de la valeur technique et de la valeur environnementale de l’article 8.3 ;</w:t>
      </w:r>
    </w:p>
    <w:p>
      <w:pPr>
        <w:pStyle w:val="BodyText"/>
        <w:rPr>
          <w:sz w:val="22"/>
          <w:szCs w:val="22"/>
        </w:rPr>
      </w:pPr>
      <w:r>
        <w:rPr>
          <w:b/>
          <w:sz w:val="22"/>
          <w:szCs w:val="22"/>
          <w:u w:val="single"/>
        </w:rPr>
        <w:t>Un R.I.B</w:t>
      </w:r>
      <w:r>
        <w:rPr>
          <w:sz w:val="22"/>
          <w:szCs w:val="22"/>
        </w:rPr>
        <w:t>.</w:t>
      </w:r>
    </w:p>
    <w:p>
      <w:pPr>
        <w:pStyle w:val="Heading1"/>
        <w:ind w:hanging="0" w:start="0" w:end="0"/>
        <w:jc w:val="both"/>
        <w:rPr>
          <w:sz w:val="22"/>
          <w:szCs w:val="22"/>
        </w:rPr>
      </w:pPr>
      <w:r>
        <w:rPr>
          <w:sz w:val="22"/>
          <w:szCs w:val="22"/>
        </w:rPr>
      </w:r>
    </w:p>
    <w:p>
      <w:pPr>
        <w:pStyle w:val="Normal"/>
        <w:jc w:val="both"/>
        <w:rPr>
          <w:sz w:val="22"/>
          <w:szCs w:val="22"/>
        </w:rPr>
      </w:pPr>
      <w:r>
        <w:rPr>
          <w:b/>
          <w:iCs/>
          <w:sz w:val="22"/>
          <w:szCs w:val="22"/>
        </w:rPr>
        <w:t>L’absence et/ou l’incomplétude d’une des pièces mentionnées ci-dessus pourrait avoir pour effet de rendre l’offre irrégulière, en application de l’article L2152-2 du Code de la commande publique.</w:t>
      </w:r>
    </w:p>
    <w:p>
      <w:pPr>
        <w:pStyle w:val="Normal"/>
        <w:rPr>
          <w:sz w:val="22"/>
          <w:szCs w:val="22"/>
        </w:rPr>
      </w:pPr>
      <w:r>
        <w:rPr>
          <w:sz w:val="22"/>
          <w:szCs w:val="22"/>
        </w:rPr>
      </w:r>
    </w:p>
    <w:p>
      <w:pPr>
        <w:pStyle w:val="Normal"/>
        <w:keepNext/>
        <w:tabs>
          <w:tab w:val="clear" w:pos="709"/>
          <w:tab w:val="left" w:pos="1134" w:leader="none"/>
          <w:tab w:val="left" w:pos="1560" w:leader="none"/>
        </w:tabs>
        <w:jc w:val="left"/>
      </w:pPr>
      <w:r>
        <w:rPr>
          <w:rFonts w:ascii="Times New Roman" w:hAnsi="Times New Roman" w:cs="Times New Roman"/>
          <w:b/>
          <w:bCs/>
          <w:color w:val="000000"/>
          <w:sz w:val="24"/>
          <w:szCs w:val="24"/>
          <w:u w:val="none"/>
        </w:rPr>
        <w:t xml:space="preserve">ARTICLE 5 – CONDITIONS D’ENVOI ET DE REMISE DES OFFRES</w:t>
      </w:r>
    </w:p>
    <w:p>
      <w:pPr>
        <w:pStyle w:val="Normal"/>
        <w:keepNext/>
        <w:spacing w:before="240" w:after="60"/>
        <w:jc w:val="left"/>
      </w:pPr>
      <w:r>
        <w:rPr>
          <w:rFonts w:ascii="Times New Roman" w:hAnsi="Times New Roman" w:cs="Times New Roman"/>
          <w:b/>
          <w:bCs/>
          <w:color w:val="000000"/>
          <w:sz w:val="24"/>
          <w:szCs w:val="24"/>
          <w:u w:val="none"/>
        </w:rPr>
        <w:t xml:space="preserve">5.1. Dispositions générales</w:t>
      </w:r>
    </w:p>
    <w:p>
      <w:pPr>
        <w:pStyle w:val="Normal"/>
        <w:keepNext/>
        <w:jc w:val="both"/>
        <w:rPr>
          <w:sz w:val="22"/>
          <w:szCs w:val="22"/>
          <w:lang w:val="en-US" w:eastAsia="en-US"/>
        </w:rPr>
      </w:pPr>
      <w:r>
        <w:rPr>
          <w:sz w:val="22"/>
          <w:szCs w:val="22"/>
          <w:lang w:val="en-US" w:eastAsia="en-US"/>
        </w:rPr>
      </w:r>
    </w:p>
    <w:p>
      <w:pPr>
        <w:pStyle w:val="Normal"/>
        <w:jc w:val="both"/>
        <w:rPr>
          <w:bCs/>
          <w:iCs/>
          <w:sz w:val="22"/>
          <w:szCs w:val="22"/>
          <w:lang w:val="en-US" w:eastAsia="en-US"/>
        </w:rPr>
      </w:pPr>
      <w:r>
        <w:rPr>
          <w:bCs/>
          <w:iCs/>
          <w:sz w:val="22"/>
          <w:szCs w:val="22"/>
          <w:lang w:val="en-US" w:eastAsia="en-US"/>
        </w:rPr>
        <w:t xml:space="preserve">Les offres seront présentées par </w:t>
      </w:r>
      <w:r>
        <w:rPr>
          <w:b/>
          <w:bCs/>
          <w:iCs/>
          <w:sz w:val="22"/>
          <w:szCs w:val="22"/>
          <w:u w:val="single"/>
          <w:lang w:val="en-US" w:eastAsia="en-US"/>
        </w:rPr>
        <w:t>voie électronique.</w:t>
      </w:r>
    </w:p>
    <w:p>
      <w:pPr>
        <w:pStyle w:val="Normal"/>
        <w:jc w:val="both"/>
        <w:rPr>
          <w:bCs/>
          <w:iCs/>
          <w:sz w:val="22"/>
          <w:szCs w:val="22"/>
          <w:lang w:val="en-US" w:eastAsia="en-US"/>
        </w:rPr>
      </w:pPr>
      <w:r>
        <w:rPr>
          <w:bCs/>
          <w:iCs/>
          <w:sz w:val="22"/>
          <w:szCs w:val="22"/>
          <w:lang w:val="en-US" w:eastAsia="en-US"/>
        </w:rPr>
      </w:r>
    </w:p>
    <w:p>
      <w:pPr>
        <w:pStyle w:val="Normal"/>
        <w:jc w:val="both"/>
        <w:rPr>
          <w:sz w:val="22"/>
          <w:szCs w:val="22"/>
          <w:lang w:val="en-US" w:eastAsia="en-US"/>
        </w:rPr>
      </w:pPr>
      <w:r>
        <w:rPr>
          <w:bCs/>
          <w:iCs/>
          <w:sz w:val="22"/>
          <w:szCs w:val="22"/>
          <w:lang w:val="en-US" w:eastAsia="en-US"/>
        </w:rPr>
        <w:t>Néanmoins, conformément à l’article R2132-11 du Code de la commande publique, une copie de sauvegarde peut être remise en cas d’offre déposée sous forme dématérialisée. Cette sauvegarde doit être produite selon les modalités prévues par l’arrêté du 22 mars 2019 fixant les modalités de mise à disposition des documents de la consultation et de la copie de sauvegarde (annexe 6 du code de la commande publique), et notamment porter la mention « copie de sauvegarde ».</w:t>
      </w:r>
    </w:p>
    <w:p>
      <w:pPr>
        <w:pStyle w:val="Normal"/>
        <w:jc w:val="both"/>
        <w:rPr>
          <w:sz w:val="22"/>
          <w:szCs w:val="22"/>
          <w:lang w:val="en-US" w:eastAsia="en-US"/>
        </w:rPr>
      </w:pPr>
      <w:r>
        <w:rPr>
          <w:sz w:val="22"/>
          <w:szCs w:val="22"/>
          <w:lang w:val="en-US" w:eastAsia="en-US"/>
        </w:rPr>
      </w:r>
    </w:p>
    <w:p>
      <w:pPr>
        <w:pStyle w:val="Normal"/>
        <w:jc w:val="both"/>
        <w:rPr>
          <w:sz w:val="22"/>
          <w:szCs w:val="22"/>
          <w:lang w:val="en-US" w:eastAsia="en-US"/>
        </w:rPr>
      </w:pPr>
      <w:r>
        <w:rPr>
          <w:sz w:val="22"/>
          <w:szCs w:val="22"/>
          <w:lang w:val="en-US" w:eastAsia="en-US"/>
        </w:rPr>
        <w:t xml:space="preserve">Le délai de dépôt des candidatures et des offres est fixé à l’avis d’appel public à la concurrence.  </w:t>
      </w:r>
    </w:p>
    <w:p>
      <w:pPr>
        <w:pStyle w:val="Normal"/>
        <w:jc w:val="both"/>
        <w:rPr>
          <w:sz w:val="22"/>
          <w:szCs w:val="22"/>
          <w:lang w:val="en-US" w:eastAsia="en-US"/>
        </w:rPr>
      </w:pPr>
      <w:r>
        <w:rPr>
          <w:sz w:val="22"/>
          <w:szCs w:val="22"/>
          <w:lang w:val="en-US" w:eastAsia="en-US"/>
        </w:rPr>
        <w:t xml:space="preserve"> </w:t>
      </w:r>
    </w:p>
    <w:p>
      <w:pPr>
        <w:pStyle w:val="Normal"/>
        <w:jc w:val="both"/>
        <w:rPr>
          <w:sz w:val="22"/>
          <w:szCs w:val="22"/>
          <w:lang w:val="en-US" w:eastAsia="en-US"/>
        </w:rPr>
      </w:pPr>
      <w:r>
        <w:rPr>
          <w:sz w:val="22"/>
          <w:szCs w:val="22"/>
          <w:lang w:val="en-US" w:eastAsia="en-US"/>
        </w:rPr>
        <w:t>Les dossiers qui seraient remis après la date et l’heure limites fixées par l’avis d’appel public à la concurrence seront rejetés.</w:t>
      </w:r>
    </w:p>
    <w:p>
      <w:pPr>
        <w:pStyle w:val="Normal"/>
        <w:jc w:val="both"/>
        <w:rPr>
          <w:sz w:val="22"/>
          <w:szCs w:val="22"/>
          <w:lang w:val="en-US" w:eastAsia="en-US"/>
        </w:rPr>
      </w:pPr>
      <w:r>
        <w:rPr>
          <w:sz w:val="22"/>
          <w:szCs w:val="22"/>
          <w:lang w:val="en-US" w:eastAsia="en-US"/>
        </w:rPr>
      </w:r>
    </w:p>
    <w:p>
      <w:pPr>
        <w:pStyle w:val="Normal"/>
        <w:keepNext/>
        <w:jc w:val="left"/>
      </w:pPr>
      <w:r>
        <w:rPr>
          <w:rFonts w:ascii="Times New Roman" w:hAnsi="Times New Roman" w:cs="Times New Roman"/>
          <w:b/>
          <w:bCs/>
          <w:color w:val="000000"/>
          <w:sz w:val="24"/>
          <w:szCs w:val="24"/>
          <w:u w:val="none"/>
        </w:rPr>
        <w:t xml:space="preserve">5.2. Dématérialisation de la procédure</w:t>
      </w:r>
    </w:p>
    <w:p>
      <w:pPr>
        <w:pStyle w:val="Normal"/>
        <w:keepNext/>
        <w:jc w:val="both"/>
        <w:rPr>
          <w:bCs/>
          <w:iCs/>
          <w:sz w:val="22"/>
          <w:szCs w:val="22"/>
          <w:lang w:val="en-US" w:eastAsia="en-US"/>
        </w:rPr>
      </w:pPr>
      <w:r>
        <w:rPr>
          <w:bCs/>
          <w:iCs/>
          <w:sz w:val="22"/>
          <w:szCs w:val="22"/>
          <w:lang w:val="en-US" w:eastAsia="en-US"/>
        </w:rPr>
      </w:r>
    </w:p>
    <w:p>
      <w:pPr>
        <w:pStyle w:val="Normal"/>
        <w:spacing w:before="0" w:after="120"/>
        <w:jc w:val="both"/>
        <w:rPr>
          <w:bCs/>
          <w:sz w:val="22"/>
          <w:szCs w:val="22"/>
        </w:rPr>
      </w:pPr>
      <w:r>
        <w:rPr>
          <w:bCs/>
          <w:sz w:val="22"/>
          <w:szCs w:val="22"/>
        </w:rPr>
        <w:t xml:space="preserve">Les candidats soumissionnent obligatoirement via la plateforme de dématérialisation MAXIMILIEN à l’adresse </w:t>
      </w:r>
      <w:hyperlink r:id="rId10">
        <w:r>
          <w:rPr>
            <w:rStyle w:val="Hyperlink"/>
            <w:bCs/>
            <w:sz w:val="22"/>
            <w:szCs w:val="22"/>
          </w:rPr>
          <w:t>https://marches.maximilien.fr</w:t>
        </w:r>
      </w:hyperlink>
      <w:r>
        <w:rPr>
          <w:bCs/>
          <w:sz w:val="22"/>
          <w:szCs w:val="22"/>
        </w:rPr>
        <w:t>.</w:t>
      </w:r>
    </w:p>
    <w:p>
      <w:pPr>
        <w:pStyle w:val="Normal"/>
        <w:spacing w:before="0" w:after="120"/>
        <w:jc w:val="both"/>
        <w:rPr>
          <w:bCs/>
          <w:sz w:val="22"/>
          <w:szCs w:val="22"/>
        </w:rPr>
      </w:pPr>
      <w:r>
        <w:rPr>
          <w:b/>
          <w:bCs/>
          <w:sz w:val="22"/>
          <w:szCs w:val="22"/>
        </w:rPr>
        <w:t>Les dossiers doivent parvenir avant la date et l’heure limites précisées sur ladite plateforme.</w:t>
      </w:r>
    </w:p>
    <w:p>
      <w:pPr>
        <w:pStyle w:val="Normal"/>
        <w:jc w:val="both"/>
        <w:rPr>
          <w:b/>
          <w:bCs/>
          <w:sz w:val="22"/>
          <w:szCs w:val="22"/>
        </w:rPr>
      </w:pPr>
      <w:r>
        <w:rPr>
          <w:b/>
          <w:bCs/>
          <w:sz w:val="22"/>
          <w:szCs w:val="22"/>
        </w:rPr>
        <w:t>En cas de remise de plusieurs offres par un même candidat, seule la dernière offre déposée sera ouverte.</w:t>
      </w:r>
    </w:p>
    <w:p>
      <w:pPr>
        <w:pStyle w:val="Normal"/>
        <w:jc w:val="both"/>
        <w:rPr>
          <w:b/>
          <w:bCs/>
          <w:sz w:val="22"/>
          <w:szCs w:val="22"/>
        </w:rPr>
      </w:pPr>
      <w:r>
        <w:rPr>
          <w:b/>
          <w:bCs/>
          <w:sz w:val="22"/>
          <w:szCs w:val="22"/>
        </w:rPr>
      </w:r>
    </w:p>
    <w:p>
      <w:pPr>
        <w:pStyle w:val="Normal"/>
        <w:spacing w:before="0" w:after="120"/>
        <w:jc w:val="both"/>
        <w:rPr>
          <w:bCs/>
          <w:sz w:val="22"/>
          <w:szCs w:val="22"/>
        </w:rPr>
      </w:pPr>
      <w:r>
        <w:rPr>
          <w:bCs/>
          <w:sz w:val="22"/>
          <w:szCs w:val="22"/>
        </w:rPr>
        <w:t>Les candidats n’ayant jamais utilisé la plateforme MAXIMILIEN sont invités à vérifier les prérequis techniques nécessaires à l’adresse suivante :</w:t>
      </w:r>
    </w:p>
    <w:p>
      <w:pPr>
        <w:pStyle w:val="Normal"/>
        <w:spacing w:before="0" w:after="120"/>
        <w:jc w:val="both"/>
        <w:rPr>
          <w:bCs/>
          <w:sz w:val="22"/>
          <w:szCs w:val="22"/>
        </w:rPr>
      </w:pPr>
      <w:r>
        <w:fldChar w:fldCharType="begin"/>
      </w:r>
      <w:r>
        <w:rPr>
          <w:rStyle w:val="Hyperlink"/>
          <w:bCs/>
          <w:color w:val="000000"/>
          <w:sz w:val="22"/>
          <w:szCs w:val="22"/>
          <w:u w:val="single"/>
        </w:rPr>
        <w:instrText xml:space="preserve"> HYPERLINK "https://marches.maximilien.fr/?page=commun.ConditionsUtilisation&amp;calledFrom=entreprise" \l "rubrique_2"</w:instrText>
      </w:r>
      <w:r>
        <w:rPr>
          <w:rStyle w:val="Hyperlink"/>
          <w:bCs/>
          <w:color w:val="000000"/>
          <w:sz w:val="22"/>
          <w:szCs w:val="22"/>
          <w:u w:val="single"/>
        </w:rPr>
        <w:fldChar w:fldCharType="separate"/>
      </w:r>
      <w:r>
        <w:rPr>
          <w:rStyle w:val="Hyperlink"/>
          <w:bCs/>
          <w:color w:val="000000"/>
          <w:sz w:val="22"/>
          <w:szCs w:val="22"/>
          <w:u w:val="single"/>
        </w:rPr>
        <w:t>https://marches.maximilien.fr/?page=commun.ConditionsUtilisation&amp;calledFrom=entreprise#rubrique_2</w:t>
      </w:r>
      <w:r>
        <w:rPr>
          <w:rStyle w:val="Hyperlink"/>
          <w:bCs/>
          <w:color w:val="000000"/>
          <w:sz w:val="22"/>
          <w:szCs w:val="22"/>
          <w:u w:val="single"/>
        </w:rPr>
        <w:fldChar w:fldCharType="end"/>
      </w:r>
      <w:r>
        <w:rPr>
          <w:bCs/>
          <w:sz w:val="22"/>
          <w:szCs w:val="22"/>
        </w:rPr>
        <w:t xml:space="preserve">. </w:t>
      </w:r>
    </w:p>
    <w:p>
      <w:pPr>
        <w:pStyle w:val="Normal"/>
        <w:spacing w:before="0" w:after="120"/>
        <w:jc w:val="both"/>
        <w:rPr>
          <w:bCs/>
          <w:sz w:val="22"/>
          <w:szCs w:val="22"/>
        </w:rPr>
      </w:pPr>
      <w:r>
        <w:rPr>
          <w:bCs/>
          <w:sz w:val="22"/>
          <w:szCs w:val="22"/>
        </w:rPr>
        <w:t>Un guide d’utilisation de la plateforme est également disponible à l’adresse suivante :</w:t>
      </w:r>
    </w:p>
    <w:p>
      <w:pPr>
        <w:pStyle w:val="Normal"/>
        <w:spacing w:before="0" w:after="120"/>
        <w:jc w:val="both"/>
        <w:rPr>
          <w:bCs/>
          <w:sz w:val="22"/>
          <w:szCs w:val="22"/>
        </w:rPr>
      </w:pPr>
      <w:hyperlink r:id="rId11">
        <w:r>
          <w:rPr>
            <w:rStyle w:val="Hyperlink"/>
            <w:bCs/>
            <w:color w:val="000000"/>
            <w:sz w:val="22"/>
            <w:szCs w:val="22"/>
            <w:u w:val="single"/>
          </w:rPr>
          <w:t>https://marches.maximilien.fr/?page=entreprise.EntrepriseGuide</w:t>
        </w:r>
      </w:hyperlink>
      <w:r>
        <w:rPr>
          <w:bCs/>
          <w:sz w:val="22"/>
          <w:szCs w:val="22"/>
        </w:rPr>
        <w:t xml:space="preserve"> .</w:t>
      </w:r>
    </w:p>
    <w:p>
      <w:pPr>
        <w:pStyle w:val="Normal"/>
        <w:spacing w:before="0" w:after="120"/>
        <w:jc w:val="both"/>
        <w:rPr>
          <w:b/>
          <w:bCs/>
          <w:sz w:val="22"/>
          <w:szCs w:val="22"/>
        </w:rPr>
      </w:pPr>
      <w:r>
        <w:rPr>
          <w:b/>
          <w:bCs/>
          <w:sz w:val="22"/>
          <w:szCs w:val="22"/>
        </w:rPr>
        <w:t>Un service de support est également accessible de 9h00 à 19h00 les jours ouvrés au 01 76 64 74 08.</w:t>
      </w:r>
    </w:p>
    <w:p>
      <w:pPr>
        <w:pStyle w:val="Normal"/>
        <w:jc w:val="both"/>
        <w:rPr>
          <w:b/>
          <w:bCs/>
          <w:sz w:val="22"/>
          <w:szCs w:val="22"/>
        </w:rPr>
      </w:pPr>
      <w:r>
        <w:rPr>
          <w:b/>
          <w:bCs/>
          <w:sz w:val="22"/>
          <w:szCs w:val="22"/>
        </w:rPr>
        <w:t xml:space="preserve">La signature électronique de l’acte d’engagement n’est pas exigée. </w:t>
      </w:r>
    </w:p>
    <w:p>
      <w:pPr>
        <w:pStyle w:val="Normal"/>
        <w:tabs>
          <w:tab w:val="clear" w:pos="709"/>
          <w:tab w:val="left" w:pos="567" w:leader="none"/>
        </w:tabs>
        <w:jc w:val="both"/>
        <w:rPr>
          <w:strike/>
          <w:sz w:val="22"/>
          <w:szCs w:val="22"/>
          <w:u w:val="single"/>
        </w:rPr>
      </w:pPr>
      <w:r>
        <w:rPr>
          <w:b/>
          <w:bCs/>
          <w:strike/>
          <w:sz w:val="22"/>
          <w:szCs w:val="22"/>
          <w:u w:val="single"/>
        </w:rPr>
      </w:r>
    </w:p>
    <w:p>
      <w:pPr>
        <w:pStyle w:val="Normal"/>
        <w:tabs>
          <w:tab w:val="clear" w:pos="709"/>
          <w:tab w:val="left" w:pos="567" w:leader="none"/>
        </w:tabs>
        <w:jc w:val="both"/>
        <w:rPr>
          <w:shadow/>
          <w:sz w:val="22"/>
          <w:szCs w:val="22"/>
        </w:rPr>
      </w:pPr>
      <w:r>
        <w:rPr>
          <w:sz w:val="22"/>
          <w:szCs w:val="22"/>
          <w:u w:val="single"/>
        </w:rPr>
        <w:t>Avertissement :</w:t>
      </w:r>
    </w:p>
    <w:p>
      <w:pPr>
        <w:pStyle w:val="Normal"/>
        <w:autoSpaceDE w:val="false"/>
        <w:jc w:val="both"/>
        <w:rPr>
          <w:rFonts w:eastAsia="Times New Roman" w:ascii="Times New Roman" w:hAnsi="Times New Roman" w:cs="Times New Roman"/>
          <w:color w:val="000000"/>
          <w:sz w:val="22"/>
          <w:szCs w:val="22"/>
        </w:rPr>
      </w:pPr>
      <w:r>
        <w:rPr>
          <w:rFonts w:eastAsia="Times New Roman" w:ascii="Times New Roman" w:hAnsi="Times New Roman" w:cs="Times New Roman"/>
          <w:color w:val="000000"/>
          <w:sz w:val="22"/>
          <w:szCs w:val="22"/>
        </w:rPr>
        <w:t>Tout fichier constitutif de la candidature ou de l'offre, sera traité préalablement par le Soumissionnaire par un anti-virus régulièrement mis à jour</w:t>
      </w:r>
    </w:p>
    <w:p>
      <w:pPr>
        <w:pStyle w:val="Normal"/>
        <w:autoSpaceDE w:val="false"/>
        <w:jc w:val="both"/>
        <w:rPr>
          <w:rFonts w:eastAsia="Times New Roman" w:ascii="Times New Roman" w:hAnsi="Times New Roman" w:cs="Times New Roman"/>
          <w:color w:val="000000"/>
          <w:sz w:val="22"/>
          <w:szCs w:val="22"/>
        </w:rPr>
      </w:pPr>
      <w:r>
        <w:rPr>
          <w:rFonts w:eastAsia="Times New Roman" w:ascii="Times New Roman" w:hAnsi="Times New Roman" w:cs="Times New Roman"/>
          <w:color w:val="000000"/>
          <w:sz w:val="22"/>
          <w:szCs w:val="22"/>
        </w:rPr>
      </w:r>
    </w:p>
    <w:p>
      <w:pPr>
        <w:pStyle w:val="Normal"/>
        <w:autoSpaceDE w:val="false"/>
        <w:jc w:val="both"/>
        <w:rPr>
          <w:rFonts w:eastAsia="Times New Roman" w:ascii="Times New Roman" w:hAnsi="Times New Roman" w:cs="Times New Roman"/>
          <w:color w:val="000000"/>
          <w:sz w:val="22"/>
          <w:szCs w:val="22"/>
        </w:rPr>
      </w:pPr>
      <w:r>
        <w:rPr>
          <w:rFonts w:eastAsia="Times New Roman" w:ascii="Times New Roman" w:hAnsi="Times New Roman" w:cs="Times New Roman"/>
          <w:color w:val="000000"/>
          <w:sz w:val="22"/>
          <w:szCs w:val="22"/>
        </w:rPr>
        <w:t>Il est à préciser que pour pallier les éventuelles défaillances de transmission ou des plates-formes de dématérialisation ou la présence d’un « programme informatique malveillant » dans l’offre transmise par voie électronique, les candidats ont la possibilité d’effectuer « à la fois une transmission électronique et, à titre de copie de sauvegarde, une transmission sur support physique électronique [CD -Rom, clé USB…]. », et s’agissant de cette copie de sauvegarde, sous pli scellé avec la mention « copie de sauvegarde » et dans les délais impartis pour la remise des candidatures et des offres.</w:t>
      </w:r>
    </w:p>
    <w:p>
      <w:pPr>
        <w:pStyle w:val="Normal"/>
        <w:autoSpaceDE w:val="false"/>
        <w:jc w:val="both"/>
        <w:rPr>
          <w:rFonts w:eastAsia="Times New Roman" w:ascii="Times New Roman" w:hAnsi="Times New Roman" w:cs="Times New Roman"/>
          <w:color w:val="000000"/>
          <w:sz w:val="22"/>
          <w:szCs w:val="22"/>
        </w:rPr>
      </w:pPr>
      <w:r>
        <w:rPr>
          <w:rFonts w:eastAsia="Times New Roman" w:ascii="Times New Roman" w:hAnsi="Times New Roman" w:cs="Times New Roman"/>
          <w:color w:val="000000"/>
          <w:sz w:val="22"/>
          <w:szCs w:val="22"/>
        </w:rPr>
      </w:r>
    </w:p>
    <w:p>
      <w:pPr>
        <w:pStyle w:val="Normal"/>
        <w:autoSpaceDE w:val="false"/>
        <w:jc w:val="both"/>
        <w:rPr>
          <w:rFonts w:eastAsia="Times New Roman" w:ascii="Times New Roman" w:hAnsi="Times New Roman" w:cs="Times New Roman"/>
          <w:color w:val="000000"/>
          <w:sz w:val="22"/>
          <w:szCs w:val="22"/>
        </w:rPr>
      </w:pPr>
      <w:r>
        <w:rPr>
          <w:rFonts w:eastAsia="Times New Roman" w:ascii="Times New Roman" w:hAnsi="Times New Roman" w:cs="Times New Roman"/>
          <w:color w:val="000000"/>
          <w:sz w:val="22"/>
          <w:szCs w:val="22"/>
        </w:rPr>
        <w:t>Cette copie de sauvegarde, si elle est transmise dans les conditions précitées, n’est ouverte, en lieu et place de l’offre transmise par voie électronique, que lorsque cette dernière n’est pas parvenue dans les délais impartis ou ne peut être ouverte ou contient un « programme informatique malveillant ». Les plis contenant une copie de sauvegarde, que le pouvoir adjudicateur n’a pas besoin d’ouvrir, seront détruits.</w:t>
      </w:r>
    </w:p>
    <w:p>
      <w:pPr>
        <w:pStyle w:val="Normal"/>
        <w:autoSpaceDE w:val="false"/>
        <w:jc w:val="both"/>
        <w:rPr>
          <w:rFonts w:eastAsia="Times New Roman" w:ascii="Times New Roman" w:hAnsi="Times New Roman" w:cs="Times New Roman"/>
          <w:color w:val="000000"/>
          <w:sz w:val="22"/>
          <w:szCs w:val="22"/>
        </w:rPr>
      </w:pPr>
      <w:r>
        <w:rPr>
          <w:rFonts w:eastAsia="Times New Roman" w:ascii="Times New Roman" w:hAnsi="Times New Roman" w:cs="Times New Roman"/>
          <w:color w:val="000000"/>
          <w:sz w:val="22"/>
          <w:szCs w:val="22"/>
        </w:rPr>
      </w:r>
    </w:p>
    <w:p>
      <w:pPr>
        <w:pStyle w:val="Normal"/>
        <w:autoSpaceDE w:val="false"/>
        <w:jc w:val="both"/>
        <w:rPr>
          <w:rFonts w:eastAsia="Times New Roman" w:ascii="Times New Roman" w:hAnsi="Times New Roman" w:cs="Times New Roman"/>
          <w:color w:val="000000"/>
          <w:sz w:val="22"/>
          <w:szCs w:val="22"/>
        </w:rPr>
      </w:pPr>
      <w:r>
        <w:rPr>
          <w:rFonts w:eastAsia="Times New Roman" w:ascii="Times New Roman" w:hAnsi="Times New Roman" w:cs="Times New Roman"/>
          <w:color w:val="000000"/>
          <w:sz w:val="22"/>
          <w:szCs w:val="22"/>
        </w:rPr>
        <w:t>En cas de cotraitance, le mandataire du groupement assure la transmission électronique de l’ensemble des documents exigés pour chacun des membres du groupement. Seul le mandataire du groupement remettra la réponse électronique sur la plate-forme en utilisant son certificat.</w:t>
      </w:r>
    </w:p>
    <w:p>
      <w:pPr>
        <w:pStyle w:val="Normal"/>
        <w:autoSpaceDE w:val="false"/>
        <w:jc w:val="both"/>
        <w:rPr>
          <w:rFonts w:eastAsia="Times New Roman" w:ascii="Times New Roman" w:hAnsi="Times New Roman" w:cs="Times New Roman"/>
          <w:color w:val="000000"/>
          <w:sz w:val="22"/>
          <w:szCs w:val="22"/>
        </w:rPr>
      </w:pPr>
      <w:r>
        <w:rPr>
          <w:rFonts w:eastAsia="Times New Roman" w:ascii="Times New Roman" w:hAnsi="Times New Roman" w:cs="Times New Roman"/>
          <w:color w:val="000000"/>
          <w:sz w:val="22"/>
          <w:szCs w:val="22"/>
        </w:rPr>
      </w:r>
    </w:p>
    <w:p>
      <w:pPr>
        <w:pStyle w:val="Normal"/>
        <w:jc w:val="both"/>
        <w:rPr>
          <w:shadow/>
          <w:sz w:val="22"/>
          <w:szCs w:val="22"/>
        </w:rPr>
      </w:pPr>
      <w:r>
        <w:rPr>
          <w:b/>
          <w:bCs/>
          <w:iCs/>
          <w:sz w:val="22"/>
          <w:szCs w:val="22"/>
        </w:rPr>
        <w:t>Les candidats sont informés que les documents transmis par voie électronique pourront être re-matérialisés par le pouvoir adjudicateur après l'ouverture des plis et que l'attribution de l’accord-cadre pourra donner lieu à la signature manuscrite d'un accord-cadre papier après mise au point de l’Acte d’Engagement ou sur la base du formulaire ATTRI 1.</w:t>
      </w:r>
    </w:p>
    <w:p>
      <w:pPr>
        <w:pStyle w:val="Normal"/>
        <w:rPr>
          <w:shadow/>
          <w:sz w:val="22"/>
          <w:szCs w:val="22"/>
        </w:rPr>
      </w:pPr>
      <w:r>
        <w:rPr>
          <w:shadow/>
          <w:sz w:val="22"/>
          <w:szCs w:val="22"/>
        </w:rPr>
      </w:r>
    </w:p>
    <w:p>
      <w:pPr>
        <w:pStyle w:val="Normal"/>
        <w:keepNext/>
        <w:tabs>
          <w:tab w:val="clear" w:pos="709"/>
          <w:tab w:val="left" w:pos="1134" w:leader="none"/>
          <w:tab w:val="left" w:pos="1560" w:leader="none"/>
        </w:tabs>
        <w:jc w:val="left"/>
      </w:pPr>
      <w:r>
        <w:rPr>
          <w:rFonts w:ascii="Times New Roman" w:hAnsi="Times New Roman" w:cs="Times New Roman"/>
          <w:b/>
          <w:bCs/>
          <w:color w:val="000000"/>
          <w:sz w:val="24"/>
          <w:szCs w:val="24"/>
          <w:u w:val="none"/>
        </w:rPr>
        <w:t xml:space="preserve">ARTICLE 6 – RENSEIGNEMENTS COMPLÉMENTAIRES</w:t>
      </w:r>
    </w:p>
    <w:p>
      <w:pPr>
        <w:pStyle w:val="Normal"/>
        <w:keepNext/>
        <w:jc w:val="both"/>
        <w:rPr>
          <w:iCs/>
          <w:color w:val="000000"/>
          <w:sz w:val="22"/>
          <w:szCs w:val="22"/>
          <w:lang w:val="en-US" w:eastAsia="en-US"/>
        </w:rPr>
      </w:pPr>
      <w:r>
        <w:rPr>
          <w:iCs/>
          <w:color w:val="000000"/>
          <w:sz w:val="22"/>
          <w:szCs w:val="22"/>
          <w:lang w:val="en-US" w:eastAsia="en-US"/>
        </w:rPr>
      </w:r>
    </w:p>
    <w:p>
      <w:pPr>
        <w:pStyle w:val="Normal"/>
        <w:jc w:val="both"/>
        <w:rPr>
          <w:iCs/>
          <w:color w:val="000000"/>
          <w:sz w:val="22"/>
          <w:szCs w:val="22"/>
          <w:lang w:val="en-US" w:eastAsia="en-US"/>
        </w:rPr>
      </w:pPr>
      <w:r>
        <w:rPr>
          <w:iCs/>
          <w:color w:val="000000"/>
          <w:sz w:val="22"/>
          <w:szCs w:val="22"/>
          <w:lang w:val="en-US" w:eastAsia="en-US"/>
        </w:rPr>
        <w:t>Pour obtenir tous renseignements complémentaires qui leur seraient nécessaires, les candidats devront utiliser le profil acheteur via la plateforme Maximilien.</w:t>
      </w:r>
      <w:r>
        <w:rPr>
          <w:iCs/>
          <w:strike/>
          <w:color w:val="000000"/>
          <w:sz w:val="22"/>
          <w:szCs w:val="22"/>
          <w:lang w:val="en-US" w:eastAsia="en-US"/>
        </w:rPr>
        <w:t xml:space="preserve"> </w:t>
      </w:r>
    </w:p>
    <w:p>
      <w:pPr>
        <w:pStyle w:val="Normal"/>
        <w:jc w:val="both"/>
        <w:rPr>
          <w:iCs/>
          <w:color w:val="000000"/>
          <w:sz w:val="22"/>
          <w:szCs w:val="22"/>
          <w:lang w:val="en-US" w:eastAsia="en-US"/>
        </w:rPr>
      </w:pPr>
      <w:r>
        <w:rPr>
          <w:iCs/>
          <w:color w:val="000000"/>
          <w:sz w:val="22"/>
          <w:szCs w:val="22"/>
          <w:lang w:val="en-US" w:eastAsia="en-US"/>
        </w:rPr>
        <w:t>Toutes les demandes de renseignements adressées en temps utile par les candidats au pouvoir adjudicateur et les réponses correspondantes se feront obligatoirement via la plateforme, au plus tard dans les six (6) jours avant la date limite de réception des offres.</w:t>
      </w:r>
    </w:p>
    <w:p>
      <w:pPr>
        <w:pStyle w:val="Normal"/>
        <w:jc w:val="both"/>
        <w:rPr>
          <w:iCs/>
          <w:color w:val="000000"/>
          <w:sz w:val="22"/>
          <w:szCs w:val="22"/>
          <w:lang w:val="en-US" w:eastAsia="en-US"/>
        </w:rPr>
      </w:pPr>
      <w:r>
        <w:rPr>
          <w:iCs/>
          <w:color w:val="000000"/>
          <w:sz w:val="22"/>
          <w:szCs w:val="22"/>
          <w:lang w:val="en-US" w:eastAsia="en-US"/>
        </w:rPr>
        <w:t>Les réponses aux questions posées par un candidat seront communiquées à tous les candidats.</w:t>
      </w:r>
    </w:p>
    <w:p>
      <w:pPr>
        <w:pStyle w:val="Normal"/>
        <w:jc w:val="both"/>
        <w:rPr>
          <w:iCs/>
          <w:color w:val="000000"/>
          <w:sz w:val="22"/>
          <w:szCs w:val="22"/>
          <w:lang w:val="en-US" w:eastAsia="en-US"/>
        </w:rPr>
      </w:pPr>
      <w:r>
        <w:rPr>
          <w:iCs/>
          <w:color w:val="000000"/>
          <w:sz w:val="22"/>
          <w:szCs w:val="22"/>
          <w:lang w:val="en-US" w:eastAsia="en-US"/>
        </w:rPr>
      </w:r>
    </w:p>
    <w:p>
      <w:pPr>
        <w:pStyle w:val="Normal"/>
        <w:keepNext/>
        <w:jc w:val="left"/>
      </w:pPr>
      <w:r>
        <w:rPr>
          <w:rFonts w:ascii="Times New Roman" w:hAnsi="Times New Roman" w:cs="Times New Roman"/>
          <w:b/>
          <w:bCs/>
          <w:color w:val="000000"/>
          <w:sz w:val="24"/>
          <w:szCs w:val="24"/>
          <w:u w:val="none"/>
        </w:rPr>
        <w:t xml:space="preserve">ARTICLE 7 – MODIFICATION DE DÉTAIL AU DOSSIER DE CONSULTATION</w:t>
      </w:r>
    </w:p>
    <w:p>
      <w:pPr>
        <w:pStyle w:val="Normal"/>
        <w:keepNext/>
        <w:jc w:val="both"/>
        <w:rPr>
          <w:iCs/>
          <w:color w:val="000000"/>
          <w:sz w:val="22"/>
          <w:szCs w:val="22"/>
          <w:lang w:val="en-US" w:eastAsia="en-US"/>
        </w:rPr>
      </w:pPr>
      <w:r>
        <w:rPr>
          <w:iCs/>
          <w:color w:val="000000"/>
          <w:sz w:val="22"/>
          <w:szCs w:val="22"/>
          <w:lang w:val="en-US" w:eastAsia="en-US"/>
        </w:rPr>
      </w:r>
    </w:p>
    <w:p>
      <w:pPr>
        <w:pStyle w:val="Normal"/>
        <w:jc w:val="both"/>
        <w:rPr>
          <w:iCs/>
          <w:color w:val="000000"/>
          <w:sz w:val="22"/>
          <w:szCs w:val="22"/>
          <w:lang w:val="en-US" w:eastAsia="en-US"/>
        </w:rPr>
      </w:pPr>
      <w:r>
        <w:rPr>
          <w:iCs/>
          <w:color w:val="000000"/>
          <w:sz w:val="22"/>
          <w:szCs w:val="22"/>
          <w:lang w:val="en-US" w:eastAsia="en-US"/>
        </w:rPr>
        <w:t xml:space="preserve">Le pouvoir adjudicateur se réserve le droit d’apporter au plus tard dans les six (6) jours avant la date limite fixée pour la remise des offres, des modifications de détail au Dossier de Consultation. </w:t>
      </w:r>
    </w:p>
    <w:p>
      <w:pPr>
        <w:pStyle w:val="Normal"/>
        <w:jc w:val="both"/>
        <w:rPr>
          <w:iCs/>
          <w:color w:val="000000"/>
          <w:sz w:val="22"/>
          <w:szCs w:val="22"/>
          <w:lang w:val="en-US" w:eastAsia="en-US"/>
        </w:rPr>
      </w:pPr>
      <w:r>
        <w:rPr>
          <w:iCs/>
          <w:color w:val="000000"/>
          <w:sz w:val="22"/>
          <w:szCs w:val="22"/>
          <w:lang w:val="en-US" w:eastAsia="en-US"/>
        </w:rPr>
        <w:t xml:space="preserve">Ces modifications seront signifiées aux candidats </w:t>
      </w:r>
      <w:r>
        <w:rPr>
          <w:iCs/>
          <w:strike/>
          <w:color w:val="000000"/>
          <w:sz w:val="22"/>
          <w:szCs w:val="22"/>
          <w:lang w:val="en-US" w:eastAsia="en-US"/>
        </w:rPr>
        <w:t>s</w:t>
      </w:r>
      <w:r>
        <w:rPr>
          <w:iCs/>
          <w:color w:val="000000"/>
          <w:sz w:val="22"/>
          <w:szCs w:val="22"/>
          <w:lang w:val="en-US" w:eastAsia="en-US"/>
        </w:rPr>
        <w:t>ur la plateforme dématérialisée de la collectivité. Si une telle modification devait intervenir, une prolongation du délai de remise des offres pourrait être autorisée par la ville d’Aubervilliers.</w:t>
      </w:r>
    </w:p>
    <w:p>
      <w:pPr>
        <w:pStyle w:val="Normal"/>
        <w:jc w:val="both"/>
        <w:rPr>
          <w:iCs/>
          <w:color w:val="000000"/>
          <w:sz w:val="22"/>
          <w:szCs w:val="22"/>
          <w:lang w:val="en-US" w:eastAsia="en-US"/>
        </w:rPr>
      </w:pPr>
      <w:r>
        <w:rPr>
          <w:iCs/>
          <w:color w:val="000000"/>
          <w:sz w:val="22"/>
          <w:szCs w:val="22"/>
          <w:lang w:val="en-US" w:eastAsia="en-US"/>
        </w:rPr>
        <w:t>Les candidats devront alors répondre sur la base du dossier modifié sans pouvoir élever aucune réclamation à ce sujet.</w:t>
      </w:r>
    </w:p>
    <w:p>
      <w:pPr>
        <w:pStyle w:val="Normal"/>
        <w:jc w:val="both"/>
        <w:rPr>
          <w:iCs/>
          <w:color w:val="000000"/>
          <w:sz w:val="22"/>
          <w:szCs w:val="22"/>
          <w:lang w:val="en-US" w:eastAsia="en-US"/>
        </w:rPr>
      </w:pPr>
      <w:r>
        <w:rPr>
          <w:iCs/>
          <w:color w:val="000000"/>
          <w:sz w:val="22"/>
          <w:szCs w:val="22"/>
          <w:lang w:val="en-US" w:eastAsia="en-US"/>
        </w:rPr>
        <w:t>Si, pendant l’étude du dossier par les candidats, la date limite fixée pour la remise des offres est reportée à une date ultérieure, la disposition précédente est applicable en fonction de cette nouvelle date.</w:t>
      </w:r>
    </w:p>
    <w:p>
      <w:pPr>
        <w:pStyle w:val="Normal"/>
        <w:jc w:val="both"/>
        <w:rPr>
          <w:iCs/>
          <w:color w:val="000000"/>
          <w:sz w:val="22"/>
          <w:szCs w:val="22"/>
          <w:lang w:val="en-US" w:eastAsia="en-US"/>
        </w:rPr>
      </w:pPr>
      <w:r>
        <w:rPr>
          <w:iCs/>
          <w:color w:val="000000"/>
          <w:sz w:val="22"/>
          <w:szCs w:val="22"/>
          <w:lang w:val="en-US" w:eastAsia="en-US"/>
        </w:rPr>
      </w:r>
    </w:p>
    <w:p>
      <w:pPr>
        <w:pStyle w:val="Normal"/>
        <w:keepNext/>
        <w:jc w:val="left"/>
      </w:pPr>
      <w:r>
        <w:rPr>
          <w:rFonts w:ascii="Times New Roman" w:hAnsi="Times New Roman" w:cs="Times New Roman"/>
          <w:b/>
          <w:bCs/>
          <w:color w:val="000000"/>
          <w:sz w:val="24"/>
          <w:szCs w:val="24"/>
          <w:u w:val="none"/>
        </w:rPr>
        <w:t xml:space="preserve">ARTICLE 8 – JUGEMENT DES CANDIDATURES ET DES OFFRES</w:t>
      </w:r>
    </w:p>
    <w:p>
      <w:pPr>
        <w:pStyle w:val="Normal"/>
        <w:keepNext/>
        <w:jc w:val="both"/>
        <w:rPr>
          <w:b/>
          <w:color w:val="000000"/>
          <w:sz w:val="22"/>
          <w:szCs w:val="22"/>
          <w:lang w:val="en-US" w:eastAsia="en-US"/>
        </w:rPr>
      </w:pPr>
      <w:r>
        <w:rPr>
          <w:b/>
          <w:color w:val="000000"/>
          <w:sz w:val="22"/>
          <w:szCs w:val="22"/>
          <w:lang w:val="en-US" w:eastAsia="en-US"/>
        </w:rPr>
      </w:r>
    </w:p>
    <w:p>
      <w:pPr>
        <w:pStyle w:val="Normal"/>
        <w:keepNext/>
        <w:jc w:val="left"/>
      </w:pPr>
      <w:r>
        <w:rPr>
          <w:rFonts w:ascii="Times New Roman" w:hAnsi="Times New Roman" w:cs="Times New Roman"/>
          <w:b/>
          <w:bCs/>
          <w:color w:val="000000"/>
          <w:sz w:val="24"/>
          <w:szCs w:val="24"/>
          <w:u w:val="none"/>
        </w:rPr>
        <w:t xml:space="preserve">8.1. Recevabilité des candidatures</w:t>
      </w:r>
    </w:p>
    <w:p>
      <w:pPr>
        <w:pStyle w:val="Normal"/>
        <w:keepNext/>
        <w:jc w:val="both"/>
        <w:rPr>
          <w:iCs/>
          <w:color w:val="000000"/>
          <w:sz w:val="22"/>
          <w:szCs w:val="22"/>
          <w:lang w:val="en-US" w:eastAsia="en-US"/>
        </w:rPr>
      </w:pPr>
      <w:r>
        <w:rPr>
          <w:iCs/>
          <w:color w:val="000000"/>
          <w:sz w:val="22"/>
          <w:szCs w:val="22"/>
          <w:lang w:val="en-US" w:eastAsia="en-US"/>
        </w:rPr>
      </w:r>
    </w:p>
    <w:p>
      <w:pPr>
        <w:pStyle w:val="Normal"/>
        <w:jc w:val="both"/>
        <w:rPr>
          <w:iCs/>
          <w:color w:val="000000"/>
          <w:sz w:val="22"/>
          <w:szCs w:val="22"/>
          <w:lang w:val="en-US" w:eastAsia="en-US"/>
        </w:rPr>
      </w:pPr>
      <w:r>
        <w:rPr>
          <w:iCs/>
          <w:color w:val="000000"/>
          <w:sz w:val="22"/>
          <w:szCs w:val="22"/>
          <w:lang w:val="en-US" w:eastAsia="en-US"/>
        </w:rPr>
        <w:t>Les capacités des candidats sont analysées en fonction du dossier présenté par le candidat.</w:t>
      </w:r>
    </w:p>
    <w:p>
      <w:pPr>
        <w:pStyle w:val="Normal"/>
        <w:jc w:val="both"/>
        <w:rPr>
          <w:iCs/>
          <w:color w:val="000000"/>
          <w:sz w:val="22"/>
          <w:szCs w:val="22"/>
          <w:lang w:val="en-US" w:eastAsia="en-US"/>
        </w:rPr>
      </w:pPr>
      <w:r>
        <w:rPr>
          <w:iCs/>
          <w:color w:val="000000"/>
          <w:sz w:val="22"/>
          <w:szCs w:val="22"/>
          <w:lang w:val="en-US" w:eastAsia="en-US"/>
        </w:rPr>
        <w:t>Seront éliminées :</w:t>
      </w:r>
    </w:p>
    <w:p>
      <w:pPr>
        <w:pStyle w:val="Normal"/>
        <w:numPr>
          <w:ilvl w:val="0"/>
          <w:numId w:val="9"/>
        </w:numPr>
        <w:jc w:val="both"/>
        <w:rPr>
          <w:iCs/>
          <w:color w:val="000000"/>
          <w:sz w:val="22"/>
          <w:szCs w:val="22"/>
          <w:lang w:val="en-US" w:eastAsia="en-US"/>
        </w:rPr>
      </w:pPr>
      <w:r>
        <w:rPr>
          <w:iCs/>
          <w:color w:val="000000"/>
          <w:sz w:val="22"/>
          <w:szCs w:val="22"/>
          <w:lang w:val="en-US" w:eastAsia="en-US"/>
        </w:rPr>
        <w:t>Les candidatures qui ne peuvent soumissionner en application de l’article L 2141-1 du Code de la commande publique ;</w:t>
      </w:r>
    </w:p>
    <w:p>
      <w:pPr>
        <w:pStyle w:val="Normal"/>
        <w:numPr>
          <w:ilvl w:val="0"/>
          <w:numId w:val="9"/>
        </w:numPr>
        <w:jc w:val="both"/>
        <w:rPr>
          <w:iCs/>
          <w:color w:val="000000"/>
          <w:sz w:val="22"/>
          <w:szCs w:val="22"/>
          <w:lang w:val="en-US" w:eastAsia="en-US"/>
        </w:rPr>
      </w:pPr>
      <w:r>
        <w:rPr>
          <w:iCs/>
          <w:color w:val="000000"/>
          <w:sz w:val="22"/>
          <w:szCs w:val="22"/>
          <w:lang w:val="en-US" w:eastAsia="en-US"/>
        </w:rPr>
        <w:t>Les candidatures qui ne sont pas accompagnées des pièces mentionnées à l’article 4.1 du présent document ;</w:t>
      </w:r>
    </w:p>
    <w:p>
      <w:pPr>
        <w:pStyle w:val="Normal"/>
        <w:numPr>
          <w:ilvl w:val="0"/>
          <w:numId w:val="9"/>
        </w:numPr>
        <w:jc w:val="both"/>
        <w:rPr>
          <w:iCs/>
          <w:color w:val="000000"/>
          <w:sz w:val="22"/>
          <w:szCs w:val="22"/>
          <w:lang w:val="en-US" w:eastAsia="en-US"/>
        </w:rPr>
      </w:pPr>
      <w:r>
        <w:rPr>
          <w:iCs/>
          <w:color w:val="000000"/>
          <w:sz w:val="22"/>
          <w:szCs w:val="22"/>
          <w:lang w:val="en-US" w:eastAsia="en-US"/>
        </w:rPr>
        <w:t xml:space="preserve">Les candidatures ne répondant pas aux capacités professionnelles ainsi que techniques et financières prévues à l'article 4.1 du présent document exigées et en rapport avec l’objet, l’importance et la complexité de l’accord-cadre </w:t>
      </w:r>
    </w:p>
    <w:p>
      <w:pPr>
        <w:pStyle w:val="Normal"/>
        <w:ind w:start="927" w:end="0"/>
        <w:jc w:val="both"/>
        <w:rPr>
          <w:iCs/>
          <w:color w:val="000000"/>
          <w:sz w:val="22"/>
          <w:szCs w:val="22"/>
          <w:lang w:val="en-US" w:eastAsia="en-US"/>
        </w:rPr>
      </w:pPr>
      <w:r>
        <w:rPr>
          <w:iCs/>
          <w:color w:val="000000"/>
          <w:sz w:val="22"/>
          <w:szCs w:val="22"/>
          <w:lang w:val="en-US" w:eastAsia="en-US"/>
        </w:rPr>
      </w:r>
    </w:p>
    <w:p>
      <w:pPr>
        <w:pStyle w:val="Normal"/>
        <w:jc w:val="both"/>
        <w:rPr>
          <w:iCs/>
          <w:color w:val="000000"/>
          <w:sz w:val="22"/>
          <w:szCs w:val="22"/>
          <w:lang w:val="en-US" w:eastAsia="en-US"/>
        </w:rPr>
      </w:pPr>
      <w:r>
        <w:rPr>
          <w:iCs/>
          <w:color w:val="000000"/>
          <w:sz w:val="22"/>
          <w:szCs w:val="22"/>
          <w:lang w:val="en-US" w:eastAsia="en-US"/>
        </w:rPr>
        <w:t>En cas de groupement, l’appréciation des capacités professionnelles, techniques et financières du groupement au regard des documents et renseignements demandés, se fera de manière globale.</w:t>
      </w:r>
    </w:p>
    <w:p>
      <w:pPr>
        <w:pStyle w:val="Normal"/>
        <w:jc w:val="both"/>
        <w:rPr>
          <w:iCs/>
          <w:color w:val="000000"/>
          <w:sz w:val="22"/>
          <w:szCs w:val="22"/>
          <w:lang w:val="en-US" w:eastAsia="en-US"/>
        </w:rPr>
      </w:pPr>
      <w:r>
        <w:rPr>
          <w:iCs/>
          <w:color w:val="000000"/>
          <w:sz w:val="22"/>
          <w:szCs w:val="22"/>
          <w:lang w:val="en-US" w:eastAsia="en-US"/>
        </w:rPr>
        <w:t>Les candidats non retenus en sont informés.</w:t>
      </w:r>
    </w:p>
    <w:p>
      <w:pPr>
        <w:pStyle w:val="Normal"/>
        <w:jc w:val="both"/>
        <w:rPr>
          <w:b/>
          <w:color w:val="000000"/>
          <w:sz w:val="22"/>
          <w:szCs w:val="22"/>
          <w:lang w:val="en-US" w:eastAsia="en-US"/>
        </w:rPr>
      </w:pPr>
      <w:r>
        <w:rPr>
          <w:iCs/>
          <w:color w:val="000000"/>
          <w:sz w:val="22"/>
          <w:szCs w:val="22"/>
          <w:lang w:val="en-US" w:eastAsia="en-US"/>
        </w:rPr>
        <w:t>Il doit toutefois être bien précisé qu’avant de procéder à l’examen des candidatures, si le pouvoir adjudicateur constate que des pièces dont la production était réclamée sont absentes ou incomplètes, il pourra demander à tous les candidats concernés de produire ou de compléter ces pièces dans un délai de trois (3) jours au maximum, conformément aux dispositions de l’article R. 2144-2 du Code de la commande publique. Le pouvoir adjudicateur informera les autres candidats qui auront la possibilité de compléter leur candidature dans le même délai.</w:t>
      </w:r>
    </w:p>
    <w:p>
      <w:pPr>
        <w:pStyle w:val="Normal"/>
        <w:jc w:val="both"/>
        <w:rPr>
          <w:b/>
          <w:color w:val="000000"/>
          <w:sz w:val="22"/>
          <w:szCs w:val="22"/>
          <w:lang w:val="en-US" w:eastAsia="en-US"/>
        </w:rPr>
      </w:pPr>
      <w:r>
        <w:rPr>
          <w:b/>
          <w:color w:val="000000"/>
          <w:sz w:val="22"/>
          <w:szCs w:val="22"/>
          <w:lang w:val="en-US" w:eastAsia="en-US"/>
        </w:rPr>
      </w:r>
    </w:p>
    <w:p>
      <w:pPr>
        <w:pStyle w:val="Normal"/>
        <w:keepNext/>
        <w:jc w:val="left"/>
      </w:pPr>
      <w:r>
        <w:rPr>
          <w:rFonts w:ascii="Times New Roman" w:hAnsi="Times New Roman" w:cs="Times New Roman"/>
          <w:b/>
          <w:bCs/>
          <w:color w:val="000000"/>
          <w:sz w:val="24"/>
          <w:szCs w:val="24"/>
          <w:u w:val="none"/>
        </w:rPr>
        <w:t xml:space="preserve">8.2. Recevabilité des offres</w:t>
      </w:r>
    </w:p>
    <w:p>
      <w:pPr>
        <w:pStyle w:val="Normal"/>
        <w:keepNext/>
        <w:jc w:val="both"/>
        <w:rPr>
          <w:iCs/>
          <w:color w:val="000000"/>
          <w:sz w:val="22"/>
          <w:szCs w:val="22"/>
          <w:lang w:val="zxx" w:eastAsia="en-US"/>
        </w:rPr>
      </w:pPr>
      <w:r>
        <w:rPr>
          <w:iCs/>
          <w:color w:val="000000"/>
          <w:sz w:val="22"/>
          <w:szCs w:val="22"/>
          <w:lang w:val="zxx" w:eastAsia="en-US"/>
        </w:rPr>
      </w:r>
    </w:p>
    <w:p>
      <w:pPr>
        <w:pStyle w:val="Normal"/>
        <w:jc w:val="both"/>
        <w:rPr>
          <w:iCs/>
          <w:color w:val="000000"/>
          <w:sz w:val="22"/>
          <w:szCs w:val="22"/>
          <w:lang w:val="en-US" w:eastAsia="en-US"/>
        </w:rPr>
      </w:pPr>
      <w:r>
        <w:rPr>
          <w:iCs/>
          <w:color w:val="000000"/>
          <w:sz w:val="22"/>
          <w:szCs w:val="22"/>
          <w:lang w:val="zxx" w:eastAsia="en-US"/>
        </w:rPr>
        <w:t xml:space="preserve">Peuvent être éliminées les offres inappropriées, c'est-à-dire toute offre qui apporte une réponse sans rapport avec le besoin du pouvoir adjudicateur ; les offres irrégulières, c'est-à-dire toute offre qui, tout en apportant une réponse au besoin du pouvoir adjudicateur, est incomplète ou ne respecte pas les exigences formulées dans les documents de la consultation ; les offres inacceptables, c'est-à-dire toute offre dont les conditions qui sont prévues pour son exécution méconnaissent la législation en vigueur, ou si les crédits budgétaires alloués </w:t>
      </w:r>
      <w:r>
        <w:rPr>
          <w:iCs/>
          <w:color w:val="000000"/>
          <w:sz w:val="22"/>
          <w:szCs w:val="22"/>
          <w:lang w:val="en-US" w:eastAsia="en-US"/>
        </w:rPr>
        <w:t>à l’accord-cadre</w:t>
      </w:r>
      <w:r>
        <w:rPr>
          <w:iCs/>
          <w:color w:val="000000"/>
          <w:sz w:val="22"/>
          <w:szCs w:val="22"/>
          <w:lang w:val="zxx" w:eastAsia="en-US"/>
        </w:rPr>
        <w:t xml:space="preserve"> après évaluation du besoin à satisfaire ne permettent pas au pouvoir adjudicateur de la financer. </w:t>
      </w:r>
    </w:p>
    <w:p>
      <w:pPr>
        <w:pStyle w:val="Normal"/>
        <w:jc w:val="both"/>
        <w:rPr>
          <w:iCs/>
          <w:color w:val="000000"/>
          <w:sz w:val="22"/>
          <w:szCs w:val="22"/>
          <w:lang w:val="en-US" w:eastAsia="en-US"/>
        </w:rPr>
      </w:pPr>
      <w:r>
        <w:rPr>
          <w:iCs/>
          <w:color w:val="000000"/>
          <w:sz w:val="22"/>
          <w:szCs w:val="22"/>
          <w:lang w:val="zxx" w:eastAsia="en-US"/>
        </w:rPr>
        <w:t/>
      </w:r>
    </w:p>
    <w:p>
      <w:pPr>
        <w:pStyle w:val="Normal"/>
        <w:jc w:val="both"/>
        <w:rPr>
          <w:iCs/>
          <w:color w:val="000000"/>
          <w:sz w:val="22"/>
          <w:szCs w:val="22"/>
          <w:lang w:val="en-US" w:eastAsia="en-US"/>
        </w:rPr>
      </w:pPr>
      <w:r>
        <w:rPr>
          <w:iCs/>
          <w:color w:val="000000"/>
          <w:sz w:val="22"/>
          <w:szCs w:val="22"/>
          <w:lang w:val="zxx" w:eastAsia="en-US"/>
        </w:rPr>
        <w:t>Lorsqu’une offre paraît anormalement basse, le pouvoir adjudicateur exige du soumissionnaire, par écrit, les précisions et justifications du montant de son offre, en application des articles L. 2152-5, L. 2152-6, R. 2152-3 et R. 2152-4 du Code de la commande publique. Il rapproche notamment les heures de travail que l’offre prévoit pour chaque bâtiment, et le coût horaire de main-d’œuvre sur lequel ses prix sont établis, des salaires minima de la convention collective nationale des entreprises de propreté et services associés, et le prix des passages du coût des moyens d’accès en hauteur. Il rejette l’offre lorsque ces éléments ne justifient pas de manière satisfaisante le bas niveau du prix, ou lorsqu’il établit qu’elle contrevient aux obligations du droit du travail, conventions collectives comprises.</w:t>
      </w:r>
    </w:p>
    <w:p>
      <w:pPr>
        <w:pStyle w:val="Normal"/>
        <w:jc w:val="both"/>
        <w:rPr>
          <w:iCs/>
          <w:color w:val="000000"/>
          <w:sz w:val="22"/>
          <w:szCs w:val="22"/>
          <w:lang w:val="en-US" w:eastAsia="en-US"/>
        </w:rPr>
      </w:pPr>
      <w:r>
        <w:rPr>
          <w:iCs/>
          <w:color w:val="000000"/>
          <w:sz w:val="22"/>
          <w:szCs w:val="22"/>
          <w:lang w:val="en-US" w:eastAsia="en-US"/>
        </w:rPr>
      </w:r>
    </w:p>
    <w:p>
      <w:pPr>
        <w:pStyle w:val="Normal"/>
        <w:keepNext/>
        <w:jc w:val="left"/>
      </w:pPr>
      <w:r>
        <w:rPr>
          <w:rFonts w:ascii="Times New Roman" w:hAnsi="Times New Roman" w:cs="Times New Roman"/>
          <w:b/>
          <w:bCs/>
          <w:color w:val="000000"/>
          <w:sz w:val="24"/>
          <w:szCs w:val="24"/>
          <w:u w:val="none"/>
        </w:rPr>
        <w:t xml:space="preserve">8.3. Jugement des offres</w:t>
      </w:r>
    </w:p>
    <w:p>
      <w:pPr>
        <w:pStyle w:val="Normal"/>
        <w:keepNext/>
        <w:spacing w:before="0" w:after="120"/>
        <w:jc w:val="both"/>
        <w:rPr>
          <w:bCs/>
          <w:iCs/>
          <w:color w:val="000000"/>
          <w:sz w:val="22"/>
          <w:szCs w:val="22"/>
          <w:lang w:val="en-US" w:eastAsia="en-US"/>
        </w:rPr>
      </w:pPr>
      <w:r>
        <w:rPr>
          <w:bCs/>
          <w:iCs/>
          <w:color w:val="000000"/>
          <w:sz w:val="22"/>
          <w:szCs w:val="22"/>
          <w:lang w:val="en-US" w:eastAsia="en-US"/>
        </w:rPr>
      </w:r>
    </w:p>
    <w:p>
      <w:pPr>
        <w:pStyle w:val="Normal"/>
        <w:jc w:val="both"/>
        <w:rPr>
          <w:iCs/>
          <w:color w:val="000000"/>
          <w:sz w:val="22"/>
          <w:szCs w:val="22"/>
          <w:lang w:val="en-US" w:eastAsia="en-US"/>
        </w:rPr>
      </w:pPr>
      <w:r>
        <w:rPr>
          <w:iCs/>
          <w:color w:val="000000"/>
          <w:sz w:val="22"/>
          <w:szCs w:val="22"/>
          <w:lang w:val="en-US" w:eastAsia="en-US"/>
        </w:rPr>
        <w:t>L’analyse des offres sera effectuée dans les conditions prévues à l’article R2152-7 du Code de la commande publique, en fonction des critères ci-dessous notés et pondérés de la façon suivante :</w:t>
      </w:r>
    </w:p>
    <w:p>
      <w:pPr>
        <w:pStyle w:val="Normal"/>
        <w:jc w:val="both"/>
        <w:rPr>
          <w:iCs/>
          <w:color w:val="000000"/>
          <w:sz w:val="22"/>
          <w:szCs w:val="22"/>
          <w:lang w:val="en-US" w:eastAsia="en-US"/>
        </w:rPr>
      </w:pPr>
      <w:r>
        <w:rPr>
          <w:iCs/>
          <w:color w:val="000000"/>
          <w:sz w:val="22"/>
          <w:szCs w:val="22"/>
          <w:lang w:val="en-US" w:eastAsia="en-US"/>
        </w:rPr>
      </w:r>
    </w:p>
    <w:p>
      <w:pPr>
        <w:pStyle w:val="Normal"/>
        <w:numPr>
          <w:ilvl w:val="0"/>
          <w:numId w:val="4"/>
        </w:numPr>
        <w:tabs>
          <w:tab w:val="clear" w:pos="709"/>
          <w:tab w:val="left" w:pos="720" w:leader="none"/>
        </w:tabs>
        <w:ind w:hanging="360" w:start="540" w:end="0"/>
        <w:jc w:val="both"/>
        <w:rPr>
          <w:sz w:val="22"/>
          <w:szCs w:val="22"/>
        </w:rPr>
      </w:pPr>
      <w:r>
        <w:rPr>
          <w:b/>
          <w:sz w:val="22"/>
          <w:szCs w:val="22"/>
          <w:u w:val="single"/>
        </w:rPr>
        <w:t>Le prix (40 points), jugé en deux parties : la partie forfaitaire (32 points), sur le montant de la DPGF pour la durée de l’accord-cadre, soit le passage initial et les passages courants de trois années, aux prix et au nombre de passages de la DPGF ; la partie à bons de commande (8 points), sur un détail quantitatif estimatif établi à partir des prix du BPU, masqué : ses quantités ne sont pas communiquées aux candidats. Chaque partie est notée séparément : points de la partie × montant de l’offre la moins-disante pour cette partie / montant de l’offre examinée. L’offre la moins-disante est prise parmi les offres qui ne sont pas rejetées comme anormalement basses.</w:t>
      </w:r>
      <w:r>
        <w:rPr>
          <w:sz w:val="22"/>
          <w:szCs w:val="22"/>
          <w:u w:val="single"/>
        </w:rPr>
        <w:t xml:space="preserve"/>
      </w:r>
      <w:r>
        <w:rPr>
          <w:b/>
          <w:sz w:val="22"/>
          <w:szCs w:val="22"/>
          <w:u w:val="single"/>
        </w:rPr>
        <w:t/>
      </w:r>
      <w:r>
        <w:rPr>
          <w:sz w:val="22"/>
          <w:szCs w:val="22"/>
        </w:rPr>
        <w:t xml:space="preserve"> </w:t>
      </w:r>
    </w:p>
    <w:p>
      <w:pPr>
        <w:pStyle w:val="Normal"/>
        <w:tabs>
          <w:tab w:val="clear" w:pos="709"/>
          <w:tab w:val="left" w:pos="720" w:leader="none"/>
        </w:tabs>
        <w:ind w:start="540" w:end="0"/>
        <w:jc w:val="both"/>
        <w:rPr>
          <w:sz w:val="22"/>
          <w:szCs w:val="22"/>
        </w:rPr>
      </w:pPr>
      <w:r>
        <w:rPr>
          <w:sz w:val="22"/>
          <w:szCs w:val="22"/>
        </w:rPr>
      </w:r>
    </w:p>
    <w:p>
      <w:pPr>
        <w:pStyle w:val="Normal"/>
        <w:numPr>
          <w:ilvl w:val="0"/>
          <w:numId w:val="4"/>
        </w:numPr>
        <w:tabs>
          <w:tab w:val="clear" w:pos="709"/>
          <w:tab w:val="left" w:pos="720" w:leader="none"/>
        </w:tabs>
        <w:ind w:hanging="360" w:start="540" w:end="0"/>
        <w:jc w:val="both"/>
        <w:rPr>
          <w:sz w:val="22"/>
          <w:szCs w:val="22"/>
        </w:rPr>
      </w:pPr>
      <w:r>
        <w:rPr>
          <w:b/>
          <w:sz w:val="22"/>
          <w:szCs w:val="22"/>
          <w:u w:val="single"/>
        </w:rPr>
        <w:t>La valeur technique (40 points)</w:t>
      </w:r>
      <w:r>
        <w:rPr>
          <w:b/>
          <w:sz w:val="22"/>
          <w:szCs w:val="22"/>
        </w:rPr>
        <w:t xml:space="preserve"> jugée sur la base des sous-critères suivants et repris dans le cadre de la note technique et environnementale :</w:t>
      </w:r>
    </w:p>
    <w:p>
      <w:pPr>
        <w:pStyle w:val="BodyText"/>
        <w:numPr>
          <w:ilvl w:val="1"/>
          <w:numId w:val="7"/>
        </w:numPr>
        <w:rPr>
          <w:sz w:val="22"/>
          <w:szCs w:val="22"/>
        </w:rPr>
      </w:pPr>
      <w:r>
        <w:rPr>
          <w:sz w:val="22"/>
          <w:szCs w:val="22"/>
        </w:rPr>
        <w:t>La méthodologie utilisée  (15 points) incluant :</w:t>
      </w:r>
    </w:p>
    <w:p>
      <w:pPr>
        <w:pStyle w:val="BodyText"/>
        <w:numPr>
          <w:ilvl w:val="2"/>
          <w:numId w:val="7"/>
        </w:numPr>
        <w:rPr>
          <w:sz w:val="22"/>
          <w:szCs w:val="22"/>
        </w:rPr>
      </w:pPr>
      <w:r>
        <w:rPr>
          <w:sz w:val="22"/>
          <w:szCs w:val="22"/>
        </w:rPr>
        <w:t>L’organisation du soumissionnaire pour faire face à une situation imprévue et donc non planifiée (5 points)</w:t>
      </w:r>
    </w:p>
    <w:p>
      <w:pPr>
        <w:pStyle w:val="BodyText"/>
        <w:numPr>
          <w:ilvl w:val="2"/>
          <w:numId w:val="7"/>
        </w:numPr>
        <w:rPr>
          <w:sz w:val="22"/>
          <w:szCs w:val="22"/>
        </w:rPr>
      </w:pPr>
      <w:r>
        <w:rPr>
          <w:sz w:val="22"/>
          <w:szCs w:val="22"/>
        </w:rPr>
        <w:t>L’encadrement de son personnel au sein de la collectivité lors de la réalisation de sa ou ses prestation(s) (5 points)</w:t>
      </w:r>
    </w:p>
    <w:p>
      <w:pPr>
        <w:pStyle w:val="BodyText"/>
        <w:numPr>
          <w:ilvl w:val="2"/>
          <w:numId w:val="7"/>
        </w:numPr>
        <w:rPr>
          <w:sz w:val="22"/>
          <w:szCs w:val="22"/>
        </w:rPr>
      </w:pPr>
      <w:r>
        <w:rPr>
          <w:sz w:val="22"/>
          <w:szCs w:val="22"/>
        </w:rPr>
        <w:t>L’organisation du contrôle de la qualité des prestations et des contacts avec le pouvoir adjudicateur, en vue de s’assurer de sa satisfaction et de prendre connaissance de ses éventuels désidérata (5 points)</w:t>
      </w:r>
    </w:p>
    <w:p>
      <w:pPr>
        <w:pStyle w:val="BodyText"/>
        <w:numPr>
          <w:ilvl w:val="1"/>
          <w:numId w:val="7"/>
        </w:numPr>
        <w:rPr>
          <w:sz w:val="22"/>
          <w:szCs w:val="22"/>
        </w:rPr>
      </w:pPr>
      <w:r>
        <w:rPr>
          <w:sz w:val="22"/>
          <w:szCs w:val="22"/>
        </w:rPr>
        <w:t>Les moyens humains et matériels dédiés à l’exécution de l’accord-cadre (15 points)</w:t>
      </w:r>
    </w:p>
    <w:p>
      <w:pPr>
        <w:pStyle w:val="BodyText"/>
        <w:numPr>
          <w:ilvl w:val="1"/>
          <w:numId w:val="7"/>
        </w:numPr>
        <w:rPr>
          <w:sz w:val="22"/>
          <w:szCs w:val="22"/>
        </w:rPr>
      </w:pPr>
      <w:r>
        <w:rPr>
          <w:sz w:val="22"/>
          <w:szCs w:val="22"/>
        </w:rPr>
        <w:t>Les moyens et dispositifs de sécurité pour le travail en hauteur (nacelles, échafaudages, travaux sur cordes) et pour l’intervention dans des bâtiments occupés (10 points)</w:t>
      </w:r>
    </w:p>
    <w:p>
      <w:pPr>
        <w:pStyle w:val="BodyText"/>
        <w:rPr>
          <w:sz w:val="22"/>
          <w:szCs w:val="22"/>
          <w:u w:val="single"/>
        </w:rPr>
      </w:pPr>
      <w:r>
        <w:rPr>
          <w:sz w:val="22"/>
          <w:szCs w:val="22"/>
          <w:u w:val="single"/>
        </w:rPr>
      </w:r>
    </w:p>
    <w:p>
      <w:pPr>
        <w:pStyle w:val="Normal"/>
        <w:numPr>
          <w:ilvl w:val="0"/>
          <w:numId w:val="4"/>
        </w:numPr>
        <w:tabs>
          <w:tab w:val="clear" w:pos="709"/>
          <w:tab w:val="left" w:pos="720" w:leader="none"/>
        </w:tabs>
        <w:ind w:hanging="360" w:start="540" w:end="0"/>
        <w:jc w:val="both"/>
        <w:rPr>
          <w:sz w:val="22"/>
          <w:szCs w:val="22"/>
        </w:rPr>
      </w:pPr>
      <w:r>
        <w:rPr>
          <w:b/>
          <w:sz w:val="22"/>
          <w:szCs w:val="22"/>
          <w:u w:val="single"/>
        </w:rPr>
        <w:t>La valeur environnementale (20 points),</w:t>
      </w:r>
      <w:r>
        <w:rPr>
          <w:sz w:val="22"/>
          <w:szCs w:val="22"/>
        </w:rPr>
        <w:t> </w:t>
      </w:r>
      <w:r>
        <w:rPr>
          <w:b/>
          <w:sz w:val="22"/>
          <w:szCs w:val="22"/>
        </w:rPr>
        <w:t>jugée sur la base des sous-critères suivants et repris dans le cadre de la note technique et environnementale :</w:t>
      </w:r>
    </w:p>
    <w:p>
      <w:pPr>
        <w:pStyle w:val="Normal"/>
        <w:numPr>
          <w:ilvl w:val="1"/>
          <w:numId w:val="7"/>
        </w:numPr>
        <w:tabs>
          <w:tab w:val="clear" w:pos="709"/>
          <w:tab w:val="left" w:pos="720" w:leader="none"/>
        </w:tabs>
        <w:jc w:val="both"/>
        <w:rPr>
          <w:sz w:val="22"/>
          <w:szCs w:val="22"/>
          <w:u w:val="single"/>
        </w:rPr>
      </w:pPr>
      <w:r>
        <w:rPr>
          <w:sz w:val="22"/>
          <w:szCs w:val="22"/>
        </w:rPr>
        <w:t>Le procédé de nettoyage économe en eau (procédé H2O ou équivalent), les véhicules employés pour les tournées entre les bâtiments et le traitement des déchets issus des prestations (10 points)</w:t>
      </w:r>
    </w:p>
    <w:p>
      <w:pPr>
        <w:pStyle w:val="Normal"/>
        <w:numPr>
          <w:ilvl w:val="1"/>
          <w:numId w:val="7"/>
        </w:numPr>
        <w:tabs>
          <w:tab w:val="clear" w:pos="709"/>
          <w:tab w:val="left" w:pos="720" w:leader="none"/>
        </w:tabs>
        <w:jc w:val="both"/>
        <w:rPr>
          <w:sz w:val="22"/>
          <w:szCs w:val="22"/>
          <w:u w:val="single"/>
        </w:rPr>
      </w:pPr>
      <w:r>
        <w:rPr>
          <w:sz w:val="22"/>
          <w:szCs w:val="22"/>
        </w:rPr>
        <w:t xml:space="preserve">Les produits et consommables employés pour l’exécution : part des produits porteurs de l’écolabel européen ou d’un écolabel équivalent, dosage, emploi de microfibres et de matériel réutilisable, réduction des emballages</w:t>
      </w:r>
      <w:r>
        <w:rPr>
          <w:sz w:val="22"/>
          <w:szCs w:val="22"/>
          <w:u w:val="single"/>
        </w:rPr>
        <w:t/>
      </w:r>
      <w:r>
        <w:rPr>
          <w:sz w:val="22"/>
          <w:szCs w:val="22"/>
        </w:rPr>
        <w:t xml:space="preserve"> (10 points)</w:t>
      </w:r>
    </w:p>
    <w:p>
      <w:pPr>
        <w:pStyle w:val="Normal"/>
        <w:tabs>
          <w:tab w:val="clear" w:pos="709"/>
          <w:tab w:val="left" w:pos="720" w:leader="none"/>
        </w:tabs>
        <w:ind w:start="1440" w:end="0"/>
        <w:jc w:val="both"/>
        <w:rPr>
          <w:sz w:val="22"/>
          <w:szCs w:val="22"/>
          <w:u w:val="single"/>
        </w:rPr>
      </w:pPr>
      <w:r>
        <w:rPr>
          <w:sz w:val="22"/>
          <w:szCs w:val="22"/>
          <w:u w:val="single"/>
        </w:rPr>
      </w:r>
    </w:p>
    <w:p>
      <w:pPr>
        <w:pStyle w:val="Normal"/>
        <w:jc w:val="both"/>
        <w:rPr>
          <w:sz w:val="22"/>
          <w:szCs w:val="22"/>
        </w:rPr>
      </w:pPr>
      <w:r>
        <w:rPr>
          <w:sz w:val="22"/>
          <w:szCs w:val="22"/>
        </w:rPr>
        <w:t xml:space="preserve">En cas d’incompatibilité entre l’offre jugée économiquement la plus avantageuse et le budget de la Collectivité, celle-ci se réserve la possibilité de ne pas donner suite à l’ensemble de la consultation. </w:t>
      </w:r>
    </w:p>
    <w:p>
      <w:pPr>
        <w:pStyle w:val="Normal"/>
        <w:jc w:val="both"/>
        <w:rPr>
          <w:sz w:val="22"/>
          <w:szCs w:val="22"/>
        </w:rPr>
      </w:pPr>
      <w:r>
        <w:rPr>
          <w:sz w:val="22"/>
          <w:szCs w:val="22"/>
        </w:rPr>
      </w:r>
    </w:p>
    <w:p>
      <w:pPr>
        <w:pStyle w:val="Normal"/>
        <w:keepNext/>
        <w:jc w:val="left"/>
      </w:pPr>
      <w:r>
        <w:rPr>
          <w:rFonts w:ascii="Times New Roman" w:hAnsi="Times New Roman" w:cs="Times New Roman"/>
          <w:b/>
          <w:bCs/>
          <w:color w:val="000000"/>
          <w:sz w:val="24"/>
          <w:szCs w:val="24"/>
          <w:u w:val="none"/>
        </w:rPr>
        <w:t xml:space="preserve">ARTICLE 9 – MISE AU POINT DE L’ACCORD-CADRE</w:t>
      </w:r>
    </w:p>
    <w:p>
      <w:pPr>
        <w:pStyle w:val="Normal"/>
        <w:keepNext/>
        <w:jc w:val="both"/>
        <w:rPr>
          <w:sz w:val="22"/>
          <w:szCs w:val="22"/>
        </w:rPr>
      </w:pPr>
      <w:r>
        <w:rPr>
          <w:sz w:val="22"/>
          <w:szCs w:val="22"/>
        </w:rPr>
      </w:r>
    </w:p>
    <w:p>
      <w:pPr>
        <w:pStyle w:val="Normal"/>
        <w:jc w:val="both"/>
        <w:rPr>
          <w:sz w:val="22"/>
          <w:szCs w:val="22"/>
        </w:rPr>
      </w:pPr>
      <w:r>
        <w:rPr>
          <w:sz w:val="22"/>
          <w:szCs w:val="22"/>
        </w:rPr>
        <w:t xml:space="preserve">Le pouvoir adjudicateur peut, en accord avec le candidat retenu, procéder à une mise au point des composantes de l’accord-cadre sans que ces modifications puissent remettre en cause les caractéristiques substantielles de l’offre ni le classement des offres. </w:t>
      </w:r>
    </w:p>
    <w:p>
      <w:pPr>
        <w:pStyle w:val="Normal"/>
        <w:jc w:val="both"/>
        <w:rPr>
          <w:sz w:val="22"/>
          <w:szCs w:val="22"/>
        </w:rPr>
      </w:pPr>
      <w:r>
        <w:rPr>
          <w:sz w:val="22"/>
          <w:szCs w:val="22"/>
        </w:rPr>
      </w:r>
    </w:p>
    <w:p>
      <w:pPr>
        <w:pStyle w:val="Heading1"/>
        <w:keepNext/>
        <w:ind w:start="0" w:firstLine="0"/>
        <w:jc w:val="left"/>
      </w:pPr>
      <w:r>
        <w:rPr>
          <w:rFonts w:ascii="Times New Roman" w:hAnsi="Times New Roman" w:cs="Times New Roman"/>
          <w:b/>
          <w:bCs/>
          <w:color w:val="000000"/>
          <w:sz w:val="24"/>
          <w:szCs w:val="24"/>
          <w:u w:val="none"/>
        </w:rPr>
        <w:t xml:space="preserve">ARTICLE 10 – RÉSULTAT DE LA CONSULTATION</w:t>
      </w:r>
    </w:p>
    <w:p>
      <w:pPr>
        <w:pStyle w:val="Normal"/>
        <w:keepNext/>
        <w:jc w:val="both"/>
        <w:rPr>
          <w:sz w:val="22"/>
          <w:szCs w:val="22"/>
        </w:rPr>
      </w:pPr>
      <w:r>
        <w:rPr>
          <w:sz w:val="22"/>
          <w:szCs w:val="22"/>
        </w:rPr>
      </w:r>
    </w:p>
    <w:p>
      <w:pPr>
        <w:pStyle w:val="Normal"/>
        <w:jc w:val="both"/>
        <w:rPr>
          <w:sz w:val="22"/>
          <w:szCs w:val="22"/>
        </w:rPr>
      </w:pPr>
      <w:r>
        <w:rPr>
          <w:sz w:val="22"/>
          <w:szCs w:val="22"/>
        </w:rPr>
        <w:t>Une fois que le pouvoir adjudicateur a fait son choix sur les candidatures et sur les offres, il en informe tous les candidats, retenus et écartés.</w:t>
      </w:r>
    </w:p>
    <w:p>
      <w:pPr>
        <w:pStyle w:val="Normal"/>
        <w:jc w:val="both"/>
        <w:rPr>
          <w:sz w:val="22"/>
          <w:szCs w:val="22"/>
        </w:rPr>
      </w:pPr>
      <w:r>
        <w:rPr>
          <w:sz w:val="22"/>
          <w:szCs w:val="22"/>
        </w:rPr>
        <w:t>Conformément aux articles R. 2181-1 et R. 2181-3 du Code de la commande publique, le pouvoir adjudicateur notifie à chaque candidat ou soumissionnaire écarté le rejet de sa candidature ou de son offre et les motifs de ce rejet ; lorsque le rejet intervient après l’attribution, il lui communique en outre le nom de l’attributaire, les motifs qui ont conduit au choix de son offre et la date à compter de laquelle l’accord-cadre est susceptible d’être signé. Conformément à l’article R. 2181-4 du même code, il communique dans les meilleurs délais, et au plus tard quinze jours après la réception de sa demande, à tout soumissionnaire dont l’offre n’a été rejetée ni comme irrégulière, ni comme inacceptable, ni comme inappropriée, les caractéristiques et les avantages de l’offre retenue.</w:t>
      </w:r>
    </w:p>
    <w:p>
      <w:pPr>
        <w:pStyle w:val="Normal"/>
        <w:jc w:val="both"/>
        <w:rPr>
          <w:sz w:val="22"/>
          <w:szCs w:val="22"/>
        </w:rPr>
      </w:pPr>
      <w:r>
        <w:rPr>
          <w:sz w:val="22"/>
          <w:szCs w:val="22"/>
        </w:rPr>
        <w:t>Conformément à l’article R. 2182-1 du code de la commande publique, l’accord-cadre n’est pas signé avant l’expiration d’un délai de onze jours à compter de l’envoi de la notification du rejet aux candidats et soumissionnaires évincés, délai porté à seize jours lorsque cette notification n’est pas transmise par voie électronique.</w:t>
      </w:r>
    </w:p>
    <w:p>
      <w:pPr>
        <w:pStyle w:val="Normal"/>
        <w:jc w:val="both"/>
        <w:rPr>
          <w:sz w:val="22"/>
          <w:szCs w:val="22"/>
        </w:rPr>
      </w:pPr>
      <w:r>
        <w:rPr>
          <w:sz w:val="22"/>
          <w:szCs w:val="22"/>
        </w:rPr>
      </w:r>
    </w:p>
    <w:p>
      <w:pPr>
        <w:pStyle w:val="Heading1"/>
        <w:keepNext/>
        <w:ind w:start="0" w:firstLine="0"/>
        <w:jc w:val="left"/>
      </w:pPr>
      <w:r>
        <w:rPr>
          <w:rFonts w:ascii="Times New Roman" w:hAnsi="Times New Roman" w:cs="Times New Roman"/>
          <w:b/>
          <w:bCs/>
          <w:color w:val="000000"/>
          <w:sz w:val="24"/>
          <w:szCs w:val="24"/>
          <w:u w:val="none"/>
        </w:rPr>
        <w:t xml:space="preserve">ARTICLE 11 – TRIBUNAL ADMINISTRATIF TERRITORIALEMENT COMPÉTENT</w:t>
      </w:r>
    </w:p>
    <w:p>
      <w:pPr>
        <w:pStyle w:val="Normal"/>
        <w:keepNext/>
        <w:rPr>
          <w:sz w:val="22"/>
          <w:szCs w:val="22"/>
        </w:rPr>
      </w:pPr>
      <w:r>
        <w:rPr>
          <w:sz w:val="22"/>
          <w:szCs w:val="22"/>
        </w:rPr>
      </w:r>
    </w:p>
    <w:p>
      <w:pPr>
        <w:pStyle w:val="NormalWeb"/>
        <w:spacing w:before="0" w:after="0"/>
        <w:jc w:val="both"/>
        <w:rPr>
          <w:color w:val="000000"/>
          <w:sz w:val="22"/>
          <w:szCs w:val="22"/>
          <w:u w:val="single"/>
        </w:rPr>
      </w:pPr>
      <w:r>
        <w:rPr>
          <w:color w:val="000000"/>
          <w:sz w:val="22"/>
          <w:szCs w:val="22"/>
          <w:u w:val="single"/>
        </w:rPr>
        <w:t>a) Instance chargée des procédures de recours : </w:t>
      </w:r>
    </w:p>
    <w:p>
      <w:pPr>
        <w:pStyle w:val="NormalWeb"/>
        <w:spacing w:before="0" w:after="0"/>
        <w:jc w:val="both"/>
        <w:rPr>
          <w:color w:val="000000"/>
          <w:sz w:val="22"/>
          <w:szCs w:val="22"/>
          <w:u w:val="single"/>
        </w:rPr>
      </w:pPr>
      <w:r>
        <w:rPr>
          <w:color w:val="000000"/>
          <w:sz w:val="22"/>
          <w:szCs w:val="22"/>
          <w:u w:val="single"/>
        </w:rPr>
      </w:r>
    </w:p>
    <w:p>
      <w:pPr>
        <w:pStyle w:val="NormalWeb"/>
        <w:spacing w:before="0" w:after="0"/>
        <w:jc w:val="both"/>
        <w:rPr>
          <w:color w:val="000000"/>
          <w:sz w:val="22"/>
          <w:szCs w:val="22"/>
        </w:rPr>
      </w:pPr>
      <w:r>
        <w:rPr>
          <w:color w:val="000000"/>
          <w:sz w:val="22"/>
          <w:szCs w:val="22"/>
        </w:rPr>
        <w:t xml:space="preserve">Tribunal Administratif de Montreuil (France) – 44 rue Irène et Frédéric Joliot Curie, CS 60015, 93558 Montreuil Cedex </w:t>
      </w:r>
    </w:p>
    <w:p>
      <w:pPr>
        <w:pStyle w:val="NormalWeb"/>
        <w:spacing w:before="0" w:after="0"/>
        <w:jc w:val="both"/>
        <w:rPr>
          <w:color w:val="000000"/>
          <w:sz w:val="22"/>
          <w:szCs w:val="22"/>
        </w:rPr>
      </w:pPr>
      <w:r>
        <w:rPr>
          <w:color w:val="000000"/>
          <w:sz w:val="22"/>
          <w:szCs w:val="22"/>
        </w:rPr>
        <w:t>téléphone : 01-49-20-20-00</w:t>
      </w:r>
    </w:p>
    <w:p>
      <w:pPr>
        <w:pStyle w:val="NormalWeb"/>
        <w:spacing w:before="0" w:after="0"/>
        <w:jc w:val="both"/>
        <w:rPr>
          <w:color w:val="000000"/>
          <w:sz w:val="22"/>
          <w:szCs w:val="22"/>
        </w:rPr>
      </w:pPr>
      <w:r>
        <w:rPr>
          <w:color w:val="000000"/>
          <w:sz w:val="22"/>
          <w:szCs w:val="22"/>
        </w:rPr>
        <w:t>courriel : </w:t>
      </w:r>
      <w:hyperlink r:id="rId12">
        <w:r>
          <w:rPr>
            <w:rStyle w:val="Hyperlink"/>
            <w:sz w:val="22"/>
            <w:szCs w:val="22"/>
          </w:rPr>
          <w:t>greffe.ta-montreuil@juradm.fr</w:t>
        </w:r>
      </w:hyperlink>
    </w:p>
    <w:p>
      <w:pPr>
        <w:pStyle w:val="NormalWeb"/>
        <w:spacing w:before="0" w:after="0"/>
        <w:jc w:val="both"/>
        <w:rPr>
          <w:color w:val="000000"/>
          <w:sz w:val="22"/>
          <w:szCs w:val="22"/>
        </w:rPr>
      </w:pPr>
      <w:r>
        <w:rPr>
          <w:color w:val="000000"/>
          <w:sz w:val="22"/>
          <w:szCs w:val="22"/>
        </w:rPr>
      </w:r>
    </w:p>
    <w:p>
      <w:pPr>
        <w:pStyle w:val="NormalWeb"/>
        <w:spacing w:before="0" w:after="0"/>
        <w:jc w:val="both"/>
        <w:rPr>
          <w:color w:val="000000"/>
          <w:sz w:val="22"/>
          <w:szCs w:val="22"/>
          <w:u w:val="single"/>
        </w:rPr>
      </w:pPr>
      <w:r>
        <w:rPr>
          <w:color w:val="000000"/>
          <w:sz w:val="22"/>
          <w:szCs w:val="22"/>
          <w:u w:val="single"/>
        </w:rPr>
        <w:t xml:space="preserve">b) Précisions concernant le(s) délai(s) d'introduction des recours : </w:t>
      </w:r>
    </w:p>
    <w:p>
      <w:pPr>
        <w:pStyle w:val="NormalWeb"/>
        <w:spacing w:before="0" w:after="0"/>
        <w:jc w:val="both"/>
        <w:rPr>
          <w:color w:val="000000"/>
          <w:sz w:val="22"/>
          <w:szCs w:val="22"/>
          <w:u w:val="single"/>
        </w:rPr>
      </w:pPr>
      <w:r>
        <w:rPr>
          <w:color w:val="000000"/>
          <w:sz w:val="22"/>
          <w:szCs w:val="22"/>
          <w:u w:val="single"/>
        </w:rPr>
      </w:r>
    </w:p>
    <w:p>
      <w:pPr>
        <w:pStyle w:val="BodyText"/>
        <w:rPr>
          <w:sz w:val="22"/>
          <w:szCs w:val="22"/>
        </w:rPr>
      </w:pPr>
      <w:r>
        <w:rPr>
          <w:sz w:val="22"/>
          <w:szCs w:val="22"/>
        </w:rPr>
        <w:t>Toutes les difficultés, litiges ou contestations qui pourraient naître à l'occasion de l'interprétation ou de l'exécution de l’accord-cadre seront de la compétence exclusive du tribunal administratif de Montreuil (France) si les parties n'ont pu trouver un règlement amiable.</w:t>
      </w:r>
    </w:p>
    <w:p>
      <w:pPr>
        <w:pStyle w:val="BodyText"/>
        <w:rPr>
          <w:sz w:val="22"/>
          <w:szCs w:val="22"/>
        </w:rPr>
      </w:pPr>
      <w:r>
        <w:rPr>
          <w:sz w:val="22"/>
          <w:szCs w:val="22"/>
        </w:rPr>
        <w:t>Toute décision individuelle défavorable dans le cadre du présent accord-cadre pourra faire l'objet d'un recours contentieux auprès du Tribunal Administratif de Montreuil (France) dans un délai de deux (2) mois à compter de sa date de notification.</w:t>
      </w:r>
    </w:p>
    <w:p>
      <w:pPr>
        <w:pStyle w:val="BodyText"/>
        <w:rPr>
          <w:sz w:val="22"/>
          <w:szCs w:val="22"/>
        </w:rPr>
      </w:pPr>
      <w:r>
        <w:rPr>
          <w:sz w:val="22"/>
          <w:szCs w:val="22"/>
        </w:rPr>
        <w:t>Référé précontractuel : Recours possible jusqu'à la signature de l’accord-cadre.</w:t>
      </w:r>
    </w:p>
    <w:p>
      <w:pPr>
        <w:pStyle w:val="BodyText"/>
        <w:rPr>
          <w:sz w:val="22"/>
          <w:szCs w:val="22"/>
        </w:rPr>
      </w:pPr>
      <w:r>
        <w:rPr>
          <w:sz w:val="22"/>
          <w:szCs w:val="22"/>
        </w:rPr>
      </w:r>
    </w:p>
    <w:sectPr>
      <w:footerReference w:type="default" r:id="rId13"/>
      <w:type w:val="nextPage"/>
      <w:pgSz w:w="11906" w:h="16838"/>
      <w:pgMar w:left="1134" w:right="1134" w:gutter="0" w:header="0" w:top="1134" w:footer="709"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Garmond (W1)">
    <w:charset w:val="00"/>
    <w:family w:val="roman"/>
    <w:pitch w:val="variable"/>
  </w:font>
  <w:font w:name="Wingdings">
    <w:charset w:val="02"/>
    <w:family w:val="auto"/>
    <w:pitch w:val="variable"/>
  </w:font>
  <w:font w:name="Courier New">
    <w:charset w:val="00"/>
    <w:family w:val="modern"/>
    <w:pitch w:val="default"/>
  </w:font>
  <w:font w:name="Verdana">
    <w:charset w:val="00"/>
    <w:family w:val="swiss"/>
    <w:pitch w:val="variable"/>
  </w:font>
  <w:font w:name="Liberation Sans">
    <w:altName w:val="Arial"/>
    <w:charset w:val="01"/>
    <w:family w:val="swiss"/>
    <w:pitch w:val="variable"/>
  </w:font>
  <w:font w:name="Tahoma">
    <w:charset w:val="00"/>
    <w:family w:val="swiss"/>
    <w:pitch w:val="variable"/>
  </w:font>
  <w:font w:name="MS Serif">
    <w:altName w:val="Cambria"/>
    <w:charset w:val="00"/>
    <w:family w:val="roman"/>
    <w:pitch w:val="variable"/>
  </w:font>
  <w:font w:name="Comic Sans MS">
    <w:charset w:val="00"/>
    <w:family w:val="script"/>
    <w:pitch w:val="variable"/>
  </w:font>
  <w:font w:name="Courier New">
    <w:charset w:val="00"/>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end="360"/>
      <w:rPr/>
    </w:pPr>
    <w:r>
      <w:rPr/>
    </w:r>
    <w:r>
      <mc:AlternateContent>
        <mc:Choice Requires="wps">
          <w:drawing>
            <wp:anchor distT="0" distB="0" distL="0" distR="0" simplePos="0" relativeHeight="11" behindDoc="0" locked="0" layoutInCell="0" allowOverlap="1">
              <wp:simplePos x="0" y="0"/>
              <wp:positionH relativeFrom="page">
                <wp:posOffset>6381750</wp:posOffset>
              </wp:positionH>
              <wp:positionV relativeFrom="paragraph">
                <wp:posOffset>635</wp:posOffset>
              </wp:positionV>
              <wp:extent cx="457200" cy="173990"/>
              <wp:effectExtent l="0" t="0" r="0" b="0"/>
              <wp:wrapSquare wrapText="largest"/>
              <wp:docPr id="1" name="Frame1"/>
              <a:graphic xmlns:a="http://schemas.openxmlformats.org/drawingml/2006/main">
                <a:graphicData uri="http://schemas.microsoft.com/office/word/2010/wordprocessingShape">
                  <wps:wsp>
                    <wps:cNvSpPr txBox="1"/>
                    <wps:spPr>
                      <a:xfrm>
                        <a:off x="0" y="0"/>
                        <a:ext cx="457200" cy="173990"/>
                      </a:xfrm>
                      <a:prstGeom prst="rect"/>
                      <a:solidFill>
                        <a:srgbClr val="FFFFFF">
                          <a:alpha val="0"/>
                        </a:srgbClr>
                      </a:solidFill>
                    </wps:spPr>
                    <wps:txbx>
                      <w:txbxContent>
                        <w:p>
                          <w:pPr>
                            <w:pStyle w:val="Footer"/>
                            <w:jc w:val="right"/>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txbxContent>
                    </wps:txbx>
                    <wps:bodyPr anchor="t" lIns="635" tIns="635" rIns="635" bIns="635">
                      <a:noAutofit/>
                    </wps:bodyPr>
                  </wps:wsp>
                </a:graphicData>
              </a:graphic>
            </wp:anchor>
          </w:drawing>
        </mc:Choice>
        <mc:Fallback>
          <w:pict>
            <v:rect fillcolor="#FFFFFF" style="position:absolute;rotation:-0;width:36.00pt;height:13.7pt;mso-wrap-distance-left:0pt;mso-wrap-distance-right:0pt;mso-wrap-distance-top:0pt;mso-wrap-distance-bottom:0pt;margin-top:0.05pt;mso-position-vertical-relative:text;margin-left:502.50pt;mso-position-horizontal-relative:page">
              <v:fill opacity="0f"/>
              <v:textbox inset="0.000694444444444445in,0.000694444444444445in,0.000694444444444445in,0.000694444444444445in">
                <w:txbxContent>
                  <w:p>
                    <w:pPr>
                      <w:pStyle w:val="Footer"/>
                      <w:jc w:val="right"/>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txbxContent>
              </v:textbox>
              <w10:wrap type="square" side="largest"/>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pStyle w:val="Heading1"/>
      <w:suff w:val="nothing"/>
      <w:lvlText w:val=""/>
      <w:lvlJc w:val="start"/>
      <w:pPr>
        <w:tabs>
          <w:tab w:val="num" w:pos="0"/>
        </w:tabs>
        <w:ind w:start="432" w:hanging="432"/>
      </w:pPr>
    </w:lvl>
    <w:lvl w:ilvl="1">
      <w:start w:val="1"/>
      <w:numFmt w:val="none"/>
      <w:pStyle w:val="Heading2"/>
      <w:suff w:val="nothing"/>
      <w:lvlText w:val=""/>
      <w:lvlJc w:val="start"/>
      <w:pPr>
        <w:tabs>
          <w:tab w:val="num" w:pos="0"/>
        </w:tabs>
        <w:ind w:start="576" w:hanging="576"/>
      </w:pPr>
    </w:lvl>
    <w:lvl w:ilvl="2">
      <w:start w:val="1"/>
      <w:numFmt w:val="none"/>
      <w:pStyle w:val="Heading3"/>
      <w:suff w:val="nothing"/>
      <w:lvlText w:val=""/>
      <w:lvlJc w:val="start"/>
      <w:pPr>
        <w:tabs>
          <w:tab w:val="num" w:pos="0"/>
        </w:tabs>
        <w:ind w:start="720" w:hanging="720"/>
      </w:pPr>
    </w:lvl>
    <w:lvl w:ilvl="3">
      <w:start w:val="1"/>
      <w:numFmt w:val="none"/>
      <w:suff w:val="nothing"/>
      <w:lvlText w:val=""/>
      <w:lvlJc w:val="start"/>
      <w:pPr>
        <w:tabs>
          <w:tab w:val="num" w:pos="0"/>
        </w:tabs>
        <w:ind w:start="864" w:hanging="864"/>
      </w:pPr>
    </w:lvl>
    <w:lvl w:ilvl="4">
      <w:start w:val="1"/>
      <w:numFmt w:val="none"/>
      <w:pStyle w:val="Heading5"/>
      <w:suff w:val="nothing"/>
      <w:lvlText w:val=""/>
      <w:lvlJc w:val="start"/>
      <w:pPr>
        <w:tabs>
          <w:tab w:val="num" w:pos="0"/>
        </w:tabs>
        <w:ind w:start="1008" w:hanging="1008"/>
      </w:pPr>
    </w:lvl>
    <w:lvl w:ilvl="5">
      <w:start w:val="1"/>
      <w:numFmt w:val="none"/>
      <w:pStyle w:val="Heading6"/>
      <w:suff w:val="nothing"/>
      <w:lvlText w:val=""/>
      <w:lvlJc w:val="start"/>
      <w:pPr>
        <w:tabs>
          <w:tab w:val="num" w:pos="0"/>
        </w:tabs>
        <w:ind w:start="1152" w:hanging="1152"/>
      </w:pPr>
    </w:lvl>
    <w:lvl w:ilvl="6">
      <w:start w:val="1"/>
      <w:numFmt w:val="none"/>
      <w:pStyle w:val="Heading7"/>
      <w:suff w:val="nothing"/>
      <w:lvlText w:val=""/>
      <w:lvlJc w:val="start"/>
      <w:pPr>
        <w:tabs>
          <w:tab w:val="num" w:pos="0"/>
        </w:tabs>
        <w:ind w:start="1296" w:hanging="1296"/>
      </w:pPr>
    </w:lvl>
    <w:lvl w:ilvl="7">
      <w:start w:val="1"/>
      <w:numFmt w:val="none"/>
      <w:suff w:val="nothing"/>
      <w:lvlText w:val=""/>
      <w:lvlJc w:val="start"/>
      <w:pPr>
        <w:tabs>
          <w:tab w:val="num" w:pos="0"/>
        </w:tabs>
        <w:ind w:start="1440" w:hanging="1440"/>
      </w:pPr>
    </w:lvl>
    <w:lvl w:ilvl="8">
      <w:start w:val="1"/>
      <w:numFmt w:val="none"/>
      <w:suff w:val="nothing"/>
      <w:lvlText w:val=""/>
      <w:lvlJc w:val="start"/>
      <w:pPr>
        <w:tabs>
          <w:tab w:val="num" w:pos="0"/>
        </w:tabs>
        <w:ind w:start="1584" w:hanging="1584"/>
      </w:pPr>
    </w:lvl>
  </w:abstractNum>
  <w:abstractNum w:abstractNumId="2">
    <w:lvl w:ilvl="0">
      <w:start w:val="1"/>
      <w:numFmt w:val="bullet"/>
      <w:lvlText w:val=""/>
      <w:lvlJc w:val="start"/>
      <w:pPr>
        <w:tabs>
          <w:tab w:val="num" w:pos="360"/>
        </w:tabs>
        <w:ind w:start="360" w:hanging="360"/>
      </w:pPr>
      <w:rPr>
        <w:rFonts w:ascii="Symbol" w:hAnsi="Symbol" w:cs="Symbol" w:hint="default"/>
      </w:rPr>
    </w:lvl>
  </w:abstractNum>
  <w:abstractNum w:abstractNumId="3">
    <w:lvl w:ilvl="0">
      <w:start w:val="1"/>
      <w:numFmt w:val="bullet"/>
      <w:lvlText w:val=""/>
      <w:lvlJc w:val="start"/>
      <w:pPr>
        <w:tabs>
          <w:tab w:val="num" w:pos="720"/>
        </w:tabs>
        <w:ind w:start="720" w:hanging="360"/>
      </w:pPr>
      <w:rPr>
        <w:rFonts w:ascii="Wingdings" w:hAnsi="Wingdings" w:cs="Wingdings" w:hint="default"/>
      </w:rPr>
    </w:lvl>
  </w:abstractNum>
  <w:abstractNum w:abstractNumId="4">
    <w:lvl w:ilvl="0">
      <w:start w:val="1"/>
      <w:numFmt w:val="bullet"/>
      <w:lvlText w:val=""/>
      <w:lvlJc w:val="start"/>
      <w:pPr>
        <w:tabs>
          <w:tab w:val="num" w:pos="1800"/>
        </w:tabs>
        <w:ind w:start="1800" w:hanging="360"/>
      </w:pPr>
      <w:rPr>
        <w:rFonts w:ascii="Wingdings" w:hAnsi="Wingdings" w:cs="Wingdings" w:hint="default"/>
      </w:rPr>
    </w:lvl>
  </w:abstractNum>
  <w:abstractNum w:abstractNumId="5">
    <w:lvl w:ilvl="0">
      <w:start w:val="1"/>
      <w:numFmt w:val="decimal"/>
      <w:lvlText w:val="%1."/>
      <w:lvlJc w:val="start"/>
      <w:pPr>
        <w:tabs>
          <w:tab w:val="num" w:pos="720"/>
        </w:tabs>
        <w:ind w:start="720" w:hanging="360"/>
      </w:pPr>
    </w:lvl>
    <w:lvl w:ilvl="1">
      <w:start w:val="1"/>
      <w:numFmt w:val="bullet"/>
      <w:lvlText w:val=""/>
      <w:lvlJc w:val="start"/>
      <w:pPr>
        <w:tabs>
          <w:tab w:val="num" w:pos="1440"/>
        </w:tabs>
        <w:ind w:start="1440" w:hanging="360"/>
      </w:pPr>
      <w:rPr>
        <w:rFonts w:ascii="Symbol" w:hAnsi="Symbol" w:cs="Symbol" w:hint="default"/>
      </w:rPr>
    </w:lvl>
    <w:lvl w:ilvl="2">
      <w:start w:val="1"/>
      <w:numFmt w:val="lowerRoman"/>
      <w:lvlText w:val="%3."/>
      <w:lvlJc w:val="end"/>
      <w:pPr>
        <w:tabs>
          <w:tab w:val="num" w:pos="2160"/>
        </w:tabs>
        <w:ind w:start="2160" w:hanging="180"/>
      </w:pPr>
    </w:lvl>
    <w:lvl w:ilvl="3">
      <w:start w:val="1"/>
      <w:numFmt w:val="decimal"/>
      <w:lvlText w:val="%4."/>
      <w:lvlJc w:val="start"/>
      <w:pPr>
        <w:tabs>
          <w:tab w:val="num" w:pos="2880"/>
        </w:tabs>
        <w:ind w:start="2880" w:hanging="360"/>
      </w:pPr>
    </w:lvl>
    <w:lvl w:ilvl="4">
      <w:start w:val="1"/>
      <w:numFmt w:val="lowerLetter"/>
      <w:lvlText w:val="%5."/>
      <w:lvlJc w:val="start"/>
      <w:pPr>
        <w:tabs>
          <w:tab w:val="num" w:pos="3600"/>
        </w:tabs>
        <w:ind w:start="3600" w:hanging="360"/>
      </w:pPr>
    </w:lvl>
    <w:lvl w:ilvl="5">
      <w:start w:val="1"/>
      <w:numFmt w:val="lowerRoman"/>
      <w:lvlText w:val="%6."/>
      <w:lvlJc w:val="end"/>
      <w:pPr>
        <w:tabs>
          <w:tab w:val="num" w:pos="4320"/>
        </w:tabs>
        <w:ind w:start="4320" w:hanging="180"/>
      </w:pPr>
    </w:lvl>
    <w:lvl w:ilvl="6">
      <w:start w:val="1"/>
      <w:numFmt w:val="decimal"/>
      <w:lvlText w:val="%7."/>
      <w:lvlJc w:val="start"/>
      <w:pPr>
        <w:tabs>
          <w:tab w:val="num" w:pos="5040"/>
        </w:tabs>
        <w:ind w:start="5040" w:hanging="360"/>
      </w:pPr>
    </w:lvl>
    <w:lvl w:ilvl="7">
      <w:start w:val="1"/>
      <w:numFmt w:val="lowerLetter"/>
      <w:lvlText w:val="%8."/>
      <w:lvlJc w:val="start"/>
      <w:pPr>
        <w:tabs>
          <w:tab w:val="num" w:pos="5760"/>
        </w:tabs>
        <w:ind w:start="5760" w:hanging="360"/>
      </w:pPr>
    </w:lvl>
    <w:lvl w:ilvl="8">
      <w:start w:val="1"/>
      <w:numFmt w:val="lowerRoman"/>
      <w:lvlText w:val="%9."/>
      <w:lvlJc w:val="end"/>
      <w:pPr>
        <w:tabs>
          <w:tab w:val="num" w:pos="6480"/>
        </w:tabs>
        <w:ind w:start="6480" w:hanging="180"/>
      </w:pPr>
    </w:lvl>
  </w:abstractNum>
  <w:abstractNum w:abstractNumId="6">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Times New Roman" w:hAnsi="Times New Roman" w:cs="Times New Roman" w:hint="default"/>
      </w:rPr>
    </w:lvl>
    <w:lvl w:ilvl="2">
      <w:start w:val="1"/>
      <w:numFmt w:val="bullet"/>
      <w:lvlText w:val=""/>
      <w:lvlJc w:val="start"/>
      <w:pPr>
        <w:tabs>
          <w:tab w:val="num" w:pos="2160"/>
        </w:tabs>
        <w:ind w:start="2160" w:hanging="360"/>
      </w:pPr>
      <w:rPr>
        <w:rFonts w:ascii="Wingdings" w:hAnsi="Wingdings" w:cs="Wingdings" w:hint="default"/>
      </w:rPr>
    </w:lvl>
    <w:lvl w:ilvl="3">
      <w:start w:val="1"/>
      <w:numFmt w:val="bullet"/>
      <w:lvlText w:val=""/>
      <w:lvlJc w:val="start"/>
      <w:pPr>
        <w:tabs>
          <w:tab w:val="num" w:pos="2880"/>
        </w:tabs>
        <w:ind w:start="2880" w:hanging="360"/>
      </w:pPr>
      <w:rPr>
        <w:rFonts w:ascii="Wingdings" w:hAnsi="Wingdings" w:cs="Wingdings" w:hint="default"/>
      </w:rPr>
    </w:lvl>
    <w:lvl w:ilvl="4">
      <w:start w:val="1"/>
      <w:numFmt w:val="bullet"/>
      <w:lvlText w:val=""/>
      <w:lvlJc w:val="start"/>
      <w:pPr>
        <w:tabs>
          <w:tab w:val="num" w:pos="3600"/>
        </w:tabs>
        <w:ind w:start="3600" w:hanging="360"/>
      </w:pPr>
      <w:rPr>
        <w:rFonts w:ascii="Wingdings" w:hAnsi="Wingdings" w:cs="Wingdings" w:hint="default"/>
      </w:rPr>
    </w:lvl>
    <w:lvl w:ilvl="5">
      <w:start w:val="1"/>
      <w:numFmt w:val="bullet"/>
      <w:lvlText w:val=""/>
      <w:lvlJc w:val="start"/>
      <w:pPr>
        <w:tabs>
          <w:tab w:val="num" w:pos="4320"/>
        </w:tabs>
        <w:ind w:start="4320" w:hanging="360"/>
      </w:pPr>
      <w:rPr>
        <w:rFonts w:ascii="Wingdings" w:hAnsi="Wingdings" w:cs="Wingdings" w:hint="default"/>
      </w:rPr>
    </w:lvl>
    <w:lvl w:ilvl="6">
      <w:start w:val="1"/>
      <w:numFmt w:val="bullet"/>
      <w:lvlText w:val=""/>
      <w:lvlJc w:val="start"/>
      <w:pPr>
        <w:tabs>
          <w:tab w:val="num" w:pos="5040"/>
        </w:tabs>
        <w:ind w:start="5040" w:hanging="360"/>
      </w:pPr>
      <w:rPr>
        <w:rFonts w:ascii="Wingdings" w:hAnsi="Wingdings" w:cs="Wingdings" w:hint="default"/>
      </w:rPr>
    </w:lvl>
    <w:lvl w:ilvl="7">
      <w:start w:val="1"/>
      <w:numFmt w:val="bullet"/>
      <w:lvlText w:val=""/>
      <w:lvlJc w:val="start"/>
      <w:pPr>
        <w:tabs>
          <w:tab w:val="num" w:pos="5760"/>
        </w:tabs>
        <w:ind w:start="5760" w:hanging="360"/>
      </w:pPr>
      <w:rPr>
        <w:rFonts w:ascii="Wingdings" w:hAnsi="Wingdings" w:cs="Wingdings" w:hint="default"/>
      </w:rPr>
    </w:lvl>
    <w:lvl w:ilvl="8">
      <w:start w:val="1"/>
      <w:numFmt w:val="bullet"/>
      <w:lvlText w:val=""/>
      <w:lvlJc w:val="start"/>
      <w:pPr>
        <w:tabs>
          <w:tab w:val="num" w:pos="6480"/>
        </w:tabs>
        <w:ind w:start="6480" w:hanging="360"/>
      </w:pPr>
      <w:rPr>
        <w:rFonts w:ascii="Wingdings" w:hAnsi="Wingdings" w:cs="Wingdings" w:hint="default"/>
      </w:rPr>
    </w:lvl>
  </w:abstractNum>
  <w:abstractNum w:abstractNumId="7">
    <w:lvl w:ilvl="0">
      <w:start w:val="1"/>
      <w:numFmt w:val="bullet"/>
      <w:lvlText w:val=""/>
      <w:lvlJc w:val="start"/>
      <w:pPr>
        <w:tabs>
          <w:tab w:val="num" w:pos="720"/>
        </w:tabs>
        <w:ind w:start="720" w:hanging="360"/>
      </w:pPr>
      <w:rPr>
        <w:rFonts w:ascii="Symbol" w:hAnsi="Symbol" w:cs="Symbol" w:hint="default"/>
      </w:rPr>
    </w:lvl>
    <w:lvl w:ilvl="1">
      <w:start w:val="18"/>
      <w:numFmt w:val="bullet"/>
      <w:lvlText w:val="-"/>
      <w:lvlJc w:val="start"/>
      <w:pPr>
        <w:tabs>
          <w:tab w:val="num" w:pos="1440"/>
        </w:tabs>
        <w:ind w:start="1440" w:hanging="360"/>
      </w:pPr>
      <w:rPr>
        <w:rFonts w:ascii="Times New Roman" w:hAnsi="Times New Roman" w:cs="Times New Roman" w:hint="default"/>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8">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Times New Roman" w:hAnsi="Times New Roman" w:cs="Times New Roman"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9">
    <w:lvl w:ilvl="0">
      <w:start w:val="29"/>
      <w:numFmt w:val="bullet"/>
      <w:lvlText w:val="-"/>
      <w:lvlJc w:val="start"/>
      <w:pPr>
        <w:tabs>
          <w:tab w:val="num" w:pos="0"/>
        </w:tabs>
        <w:ind w:start="927" w:hanging="360"/>
      </w:pPr>
      <w:rPr>
        <w:rFonts w:ascii="Times New Roman" w:hAnsi="Times New Roman" w:cs="Times New Roman" w:hint="default"/>
      </w:rPr>
    </w:lvl>
  </w:abstractNum>
  <w:abstractNum w:abstractNumId="10">
    <w:lvl w:ilvl="0">
      <w:start w:val="1"/>
      <w:numFmt w:val="decimal"/>
      <w:lvlText w:val="1.%1 "/>
      <w:lvlJc w:val="start"/>
      <w:pPr>
        <w:tabs>
          <w:tab w:val="num" w:pos="283"/>
        </w:tabs>
        <w:ind w:start="283" w:hanging="283"/>
      </w:pPr>
      <w:rPr>
        <w:rFonts w:ascii="Times New Roman" w:hAnsi="Times New Roman" w:cs="Times New Roman"/>
        <w:b/>
        <w:i w:val="false"/>
        <w:color w:val="000000"/>
        <w:sz w:val="24"/>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10"/>
  <w:displayBackgroundShape/>
  <w:defaultTabStop w:val="709"/>
  <w:autoHyphenation w:val="true"/>
  <w:hyphenationZone w:val="0"/>
  <w:compat>
    <w:doNotBreakWrappedTables/>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4"/>
        <w:szCs w:val="24"/>
        <w:lang w:val="en-US" w:eastAsia="zh-CN" w:bidi="hi-IN"/>
      </w:rPr>
    </w:rPrDefault>
    <w:pPrDefault>
      <w:pPr>
        <w:suppressAutoHyphens w:val="true"/>
      </w:pPr>
    </w:pPrDefault>
  </w:docDefaults>
  <w:style w:type="paragraph" w:styleId="Normal">
    <w:name w:val="Normal"/>
    <w:pPr>
      <w:widowControl/>
      <w:suppressAutoHyphens w:val="true"/>
      <w:bidi w:val="0"/>
    </w:pPr>
    <w:rPr>
      <w:rFonts w:ascii="Times New Roman" w:hAnsi="Times New Roman" w:eastAsia="Times New Roman" w:cs="Times New Roman"/>
      <w:color w:val="auto"/>
      <w:sz w:val="24"/>
      <w:szCs w:val="24"/>
      <w:lang w:val="fr-FR" w:bidi="ar-SA" w:eastAsia="zh-CN"/>
    </w:rPr>
  </w:style>
  <w:style w:type="paragraph" w:styleId="Heading1">
    <w:name w:val="heading 1"/>
    <w:basedOn w:val="Normal"/>
    <w:next w:val="Normal"/>
    <w:pPr>
      <w:keepNext w:val="true"/>
      <w:numPr>
        <w:ilvl w:val="0"/>
        <w:numId w:val="1"/>
      </w:numPr>
      <w:ind w:firstLine="708" w:start="1416" w:end="0"/>
      <w:outlineLvl w:val="0"/>
    </w:pPr>
    <w:rPr>
      <w:b/>
      <w:bCs/>
      <w:u w:val="single"/>
    </w:rPr>
  </w:style>
  <w:style w:type="paragraph" w:styleId="Heading2">
    <w:name w:val="heading 2"/>
    <w:basedOn w:val="Normal"/>
    <w:next w:val="Normal"/>
    <w:pPr>
      <w:keepNext w:val="true"/>
      <w:numPr>
        <w:ilvl w:val="1"/>
        <w:numId w:val="1"/>
      </w:numPr>
      <w:outlineLvl w:val="1"/>
    </w:pPr>
    <w:rPr>
      <w:b/>
      <w:bCs/>
      <w:u w:val="single"/>
    </w:rPr>
  </w:style>
  <w:style w:type="paragraph" w:styleId="Heading3">
    <w:name w:val="heading 3"/>
    <w:basedOn w:val="Normal"/>
    <w:next w:val="Normal"/>
    <w:pPr>
      <w:keepNext w:val="true"/>
      <w:numPr>
        <w:ilvl w:val="2"/>
        <w:numId w:val="1"/>
      </w:numPr>
      <w:jc w:val="both"/>
      <w:outlineLvl w:val="2"/>
    </w:pPr>
    <w:rPr>
      <w:b/>
      <w:bCs/>
      <w:u w:val="single"/>
    </w:rPr>
  </w:style>
  <w:style w:type="paragraph" w:styleId="Heading5">
    <w:name w:val="heading 5"/>
    <w:basedOn w:val="Normal"/>
    <w:next w:val="Normal"/>
    <w:pPr>
      <w:keepNext w:val="true"/>
      <w:numPr>
        <w:ilvl w:val="4"/>
        <w:numId w:val="1"/>
      </w:numPr>
      <w:jc w:val="center"/>
      <w:outlineLvl w:val="4"/>
    </w:pPr>
    <w:rPr>
      <w:b/>
      <w:bCs/>
      <w:sz w:val="28"/>
      <w:u w:val="single"/>
    </w:rPr>
  </w:style>
  <w:style w:type="paragraph" w:styleId="Heading6">
    <w:name w:val="heading 6"/>
    <w:basedOn w:val="Normal"/>
    <w:next w:val="Retraitnormal1"/>
    <w:pPr>
      <w:numPr>
        <w:ilvl w:val="5"/>
        <w:numId w:val="1"/>
      </w:numPr>
      <w:ind w:hanging="0" w:start="708" w:end="0"/>
      <w:outlineLvl w:val="5"/>
    </w:pPr>
    <w:rPr>
      <w:rFonts w:ascii="Times New Roman" w:hAnsi="Times New Roman" w:eastAsia="Times New Roman" w:cs="Times New Roman"/>
      <w:sz w:val="20"/>
      <w:szCs w:val="20"/>
      <w:u w:val="single"/>
    </w:rPr>
  </w:style>
  <w:style w:type="paragraph" w:styleId="Heading7">
    <w:name w:val="heading 7"/>
    <w:basedOn w:val="Normal"/>
    <w:next w:val="Normal"/>
    <w:pPr>
      <w:numPr>
        <w:ilvl w:val="6"/>
        <w:numId w:val="1"/>
      </w:numPr>
      <w:spacing w:before="240" w:after="60"/>
      <w:outlineLvl w:val="6"/>
    </w:pPr>
    <w:rPr/>
  </w:style>
  <w:style w:type="character" w:styleId="WW8Num2z0">
    <w:name w:val="WW8Num2z0"/>
    <w:rPr>
      <w:rFonts w:ascii="Symbol" w:hAnsi="Symbol" w:cs="Wingdings"/>
    </w:rPr>
  </w:style>
  <w:style w:type="character" w:styleId="WW8Num3z0">
    <w:name w:val="WW8Num3z0"/>
    <w:rPr>
      <w:rFonts w:ascii="Wingdings" w:hAnsi="Wingdings" w:cs="Wingdings"/>
    </w:rPr>
  </w:style>
  <w:style w:type="character" w:styleId="WW8Num5z0">
    <w:name w:val="WW8Num5z0"/>
    <w:rPr>
      <w:rFonts w:ascii="Wingdings" w:hAnsi="Wingdings" w:cs="Wingdings"/>
    </w:rPr>
  </w:style>
  <w:style w:type="character" w:styleId="WW8Num6z1">
    <w:name w:val="WW8Num6z1"/>
    <w:rPr>
      <w:rFonts w:ascii="Symbol" w:hAnsi="Symbol" w:cs="Symbol"/>
    </w:rPr>
  </w:style>
  <w:style w:type="character" w:styleId="WW8Num6z2">
    <w:name w:val="WW8Num6z2"/>
    <w:rPr>
      <w:rFonts w:ascii="Times New Roman" w:hAnsi="Times New Roman" w:cs="Times New Roman"/>
    </w:rPr>
  </w:style>
  <w:style w:type="character" w:styleId="WW8Num7z0">
    <w:name w:val="WW8Num7z0"/>
    <w:rPr>
      <w:rFonts w:ascii="Symbol" w:hAnsi="Symbol" w:cs="Wingdings"/>
    </w:rPr>
  </w:style>
  <w:style w:type="character" w:styleId="WW8Num7z1">
    <w:name w:val="WW8Num7z1"/>
    <w:rPr>
      <w:rFonts w:ascii="Times New Roman" w:hAnsi="Times New Roman" w:cs="Times New Roman"/>
    </w:rPr>
  </w:style>
  <w:style w:type="character" w:styleId="WW8Num7z2">
    <w:name w:val="WW8Num7z2"/>
    <w:rPr>
      <w:rFonts w:ascii="Wingdings" w:hAnsi="Wingdings" w:cs="Wingdings"/>
      <w:sz w:val="20"/>
    </w:rPr>
  </w:style>
  <w:style w:type="character" w:styleId="WW8Num8z1">
    <w:name w:val="WW8Num8z1"/>
    <w:rPr>
      <w:rFonts w:ascii="Symbol" w:hAnsi="Symbol" w:cs="Times New Roman"/>
    </w:rPr>
  </w:style>
  <w:style w:type="character" w:styleId="WW8Num9z0">
    <w:name w:val="WW8Num9z0"/>
    <w:rPr>
      <w:rFonts w:ascii="Times New Roman" w:hAnsi="Times New Roman" w:cs="Wingdings"/>
    </w:rPr>
  </w:style>
  <w:style w:type="character" w:styleId="WW8Num10z0">
    <w:name w:val="WW8Num10z0"/>
    <w:rPr>
      <w:rFonts w:ascii="Symbol" w:hAnsi="Symbol" w:cs="Symbol"/>
      <w:sz w:val="20"/>
    </w:rPr>
  </w:style>
  <w:style w:type="character" w:styleId="WW8Num10z1">
    <w:name w:val="WW8Num10z1"/>
    <w:rPr>
      <w:rFonts w:ascii="Times New Roman" w:hAnsi="Times New Roman" w:cs="Symbol"/>
    </w:rPr>
  </w:style>
  <w:style w:type="character" w:styleId="WW8Num10z2">
    <w:name w:val="WW8Num10z2"/>
    <w:rPr>
      <w:rFonts w:ascii="Wingdings" w:hAnsi="Wingdings" w:cs="Times New Roman"/>
    </w:rPr>
  </w:style>
  <w:style w:type="character" w:styleId="WW8Num11z0">
    <w:name w:val="WW8Num11z0"/>
    <w:rPr>
      <w:rFonts w:ascii="Symbol" w:hAnsi="Symbol" w:cs="Wingdings"/>
    </w:rPr>
  </w:style>
  <w:style w:type="character" w:styleId="WW8Num11z1">
    <w:name w:val="WW8Num11z1"/>
    <w:rPr>
      <w:rFonts w:ascii="Times New Roman" w:hAnsi="Times New Roman" w:cs="Times New Roman"/>
    </w:rPr>
  </w:style>
  <w:style w:type="character" w:styleId="WW8Num11z2">
    <w:name w:val="WW8Num11z2"/>
    <w:rPr>
      <w:rFonts w:ascii="Wingdings" w:hAnsi="Wingdings" w:cs="Wingdings"/>
      <w:sz w:val="20"/>
    </w:rPr>
  </w:style>
  <w:style w:type="character" w:styleId="WW8Num12z0">
    <w:name w:val="WW8Num12z0"/>
    <w:rPr>
      <w:rFonts w:ascii="Symbol" w:hAnsi="Symbol" w:cs="Symbol"/>
      <w:sz w:val="20"/>
    </w:rPr>
  </w:style>
  <w:style w:type="character" w:styleId="WW8Num12z1">
    <w:name w:val="WW8Num12z1"/>
    <w:rPr>
      <w:rFonts w:ascii="Times New Roman" w:hAnsi="Times New Roman" w:cs="Times New Roman"/>
      <w:sz w:val="20"/>
    </w:rPr>
  </w:style>
  <w:style w:type="character" w:styleId="WW8Num12z2">
    <w:name w:val="WW8Num12z2"/>
    <w:rPr>
      <w:rFonts w:ascii="Wingdings" w:hAnsi="Wingdings" w:cs="Wingdings"/>
      <w:sz w:val="20"/>
    </w:rPr>
  </w:style>
  <w:style w:type="character" w:styleId="WW8Num13z0">
    <w:name w:val="WW8Num13z0"/>
    <w:rPr>
      <w:rFonts w:ascii="Wingdings" w:hAnsi="Wingdings" w:cs="Wingdings"/>
      <w:b/>
    </w:rPr>
  </w:style>
  <w:style w:type="character" w:styleId="WW8Num14z0">
    <w:name w:val="WW8Num14z0"/>
    <w:rPr>
      <w:rFonts w:ascii="Times New Roman" w:hAnsi="Times New Roman" w:cs="Wingdings"/>
    </w:rPr>
  </w:style>
  <w:style w:type="character" w:styleId="WW8Num15z0">
    <w:name w:val="WW8Num15z0"/>
    <w:rPr>
      <w:rFonts w:ascii="Times New Roman" w:hAnsi="Times New Roman" w:cs="Wingdings"/>
    </w:rPr>
  </w:style>
  <w:style w:type="character" w:styleId="WW8Num15z1">
    <w:name w:val="WW8Num15z1"/>
    <w:rPr>
      <w:rFonts w:ascii="Times New Roman" w:hAnsi="Times New Roman" w:cs="Times New Roman"/>
    </w:rPr>
  </w:style>
  <w:style w:type="character" w:styleId="WW8Num15z2">
    <w:name w:val="WW8Num15z2"/>
    <w:rPr>
      <w:rFonts w:ascii="Wingdings" w:hAnsi="Wingdings" w:cs="Wingdings"/>
    </w:rPr>
  </w:style>
  <w:style w:type="character" w:styleId="WW8Num15z3">
    <w:name w:val="WW8Num15z3"/>
    <w:rPr>
      <w:rFonts w:ascii="Symbol" w:hAnsi="Symbol" w:cs="Symbol"/>
    </w:rPr>
  </w:style>
  <w:style w:type="character" w:styleId="WW8Num16z0">
    <w:name w:val="WW8Num16z0"/>
    <w:rPr>
      <w:rFonts w:ascii="Times New Roman" w:hAnsi="Times New Roman" w:cs="Times New Roman"/>
      <w:b/>
      <w:i w:val="false"/>
      <w:color w:val="000000"/>
      <w:sz w:val="24"/>
      <w:u w:val="none"/>
    </w:rPr>
  </w:style>
  <w:style w:type="character" w:styleId="WW8Num17z0">
    <w:name w:val="WW8Num17z0"/>
    <w:rPr>
      <w:rFonts w:ascii="Times New Roman" w:hAnsi="Times New Roman" w:eastAsia="Times New Roman" w:cs="Times New Roman"/>
      <w:color w:val="000000"/>
    </w:rPr>
  </w:style>
  <w:style w:type="character" w:styleId="WW8Num17z1">
    <w:name w:val="WW8Num17z1"/>
    <w:rPr>
      <w:rFonts w:ascii="Times New Roman" w:hAnsi="Times New Roman" w:cs="Times New Roman"/>
    </w:rPr>
  </w:style>
  <w:style w:type="character" w:styleId="WW8Num17z2">
    <w:name w:val="WW8Num17z2"/>
    <w:rPr>
      <w:rFonts w:ascii="Wingdings" w:hAnsi="Wingdings" w:cs="Wingdings"/>
    </w:rPr>
  </w:style>
  <w:style w:type="character" w:styleId="WW8Num17z3">
    <w:name w:val="WW8Num17z3"/>
    <w:rPr>
      <w:rFonts w:ascii="Symbol" w:hAnsi="Symbol" w:cs="Symbol"/>
    </w:rPr>
  </w:style>
  <w:style w:type="character" w:styleId="Policepardfaut">
    <w:name w:val="Police par défaut"/>
    <w:rPr/>
  </w:style>
  <w:style w:type="character" w:styleId="WW8Num1z0">
    <w:name w:val="WW8Num1z0"/>
    <w:rPr>
      <w:rFonts w:ascii="Symbol" w:hAnsi="Symbol" w:cs="Symbol"/>
    </w:rPr>
  </w:style>
  <w:style w:type="character" w:styleId="WW8Num2z1">
    <w:name w:val="WW8Num2z1"/>
    <w:rPr>
      <w:rFonts w:ascii="Times New Roman" w:hAnsi="Times New Roman" w:cs="Times New Roman"/>
    </w:rPr>
  </w:style>
  <w:style w:type="character" w:styleId="WW8Num2z3">
    <w:name w:val="WW8Num2z3"/>
    <w:rPr>
      <w:rFonts w:ascii="Symbol" w:hAnsi="Symbol" w:cs="Symbol"/>
    </w:rPr>
  </w:style>
  <w:style w:type="character" w:styleId="WW8Num3z1">
    <w:name w:val="WW8Num3z1"/>
    <w:rPr>
      <w:rFonts w:ascii="Times New Roman" w:hAnsi="Times New Roman" w:cs="Times New Roman"/>
    </w:rPr>
  </w:style>
  <w:style w:type="character" w:styleId="WW8Num3z3">
    <w:name w:val="WW8Num3z3"/>
    <w:rPr>
      <w:rFonts w:ascii="Symbol" w:hAnsi="Symbol" w:cs="Symbol"/>
    </w:rPr>
  </w:style>
  <w:style w:type="character" w:styleId="WW8Num5z1">
    <w:name w:val="WW8Num5z1"/>
    <w:rPr>
      <w:rFonts w:ascii="Times New Roman" w:hAnsi="Times New Roman" w:cs="Times New Roman"/>
    </w:rPr>
  </w:style>
  <w:style w:type="character" w:styleId="WW8Num5z3">
    <w:name w:val="WW8Num5z3"/>
    <w:rPr>
      <w:rFonts w:ascii="Symbol" w:hAnsi="Symbol" w:cs="Symbol"/>
    </w:rPr>
  </w:style>
  <w:style w:type="character" w:styleId="WW8Num7z3">
    <w:name w:val="WW8Num7z3"/>
    <w:rPr>
      <w:rFonts w:ascii="Symbol" w:hAnsi="Symbol" w:cs="Symbol"/>
    </w:rPr>
  </w:style>
  <w:style w:type="character" w:styleId="WW8Num8z0">
    <w:name w:val="WW8Num8z0"/>
    <w:rPr>
      <w:rFonts w:ascii="Wingdings" w:hAnsi="Wingdings" w:cs="Wingdings"/>
    </w:rPr>
  </w:style>
  <w:style w:type="character" w:styleId="WW8Num8z3">
    <w:name w:val="WW8Num8z3"/>
    <w:rPr>
      <w:rFonts w:ascii="Symbol" w:hAnsi="Symbol" w:cs="Symbol"/>
    </w:rPr>
  </w:style>
  <w:style w:type="character" w:styleId="WW8Num8z4">
    <w:name w:val="WW8Num8z4"/>
    <w:rPr>
      <w:rFonts w:ascii="Times New Roman" w:hAnsi="Times New Roman" w:cs="Times New Roman"/>
    </w:rPr>
  </w:style>
  <w:style w:type="character" w:styleId="WW8Num9z1">
    <w:name w:val="WW8Num9z1"/>
    <w:rPr>
      <w:rFonts w:ascii="Times New Roman" w:hAnsi="Times New Roman" w:cs="Times New Roman"/>
    </w:rPr>
  </w:style>
  <w:style w:type="character" w:styleId="WW8Num9z3">
    <w:name w:val="WW8Num9z3"/>
    <w:rPr>
      <w:rFonts w:ascii="Symbol" w:hAnsi="Symbol" w:cs="Symbol"/>
    </w:rPr>
  </w:style>
  <w:style w:type="character" w:styleId="WW8Num11z3">
    <w:name w:val="WW8Num11z3"/>
    <w:rPr>
      <w:rFonts w:ascii="Symbol" w:hAnsi="Symbol" w:cs="Symbol"/>
    </w:rPr>
  </w:style>
  <w:style w:type="character" w:styleId="WW8Num14z1">
    <w:name w:val="WW8Num14z1"/>
    <w:rPr>
      <w:rFonts w:ascii="Times New Roman" w:hAnsi="Times New Roman" w:cs="Times New Roman"/>
    </w:rPr>
  </w:style>
  <w:style w:type="character" w:styleId="WW8Num14z3">
    <w:name w:val="WW8Num14z3"/>
    <w:rPr>
      <w:rFonts w:ascii="Symbol" w:hAnsi="Symbol" w:cs="Symbol"/>
    </w:rPr>
  </w:style>
  <w:style w:type="character" w:styleId="WW8Num16z1">
    <w:name w:val="WW8Num16z1"/>
    <w:rPr>
      <w:rFonts w:ascii="Symbol" w:hAnsi="Symbol" w:cs="Symbol"/>
    </w:rPr>
  </w:style>
  <w:style w:type="character" w:styleId="WW8Num18z0">
    <w:name w:val="WW8Num18z0"/>
    <w:rPr>
      <w:rFonts w:ascii="Times New Roman" w:hAnsi="Times New Roman" w:eastAsia="Times New Roman" w:cs="Times New Roman"/>
    </w:rPr>
  </w:style>
  <w:style w:type="character" w:styleId="WW8Num18z1">
    <w:name w:val="WW8Num18z1"/>
    <w:rPr>
      <w:rFonts w:ascii="Times New Roman" w:hAnsi="Times New Roman" w:cs="Times New Roman"/>
    </w:rPr>
  </w:style>
  <w:style w:type="character" w:styleId="WW8Num18z2">
    <w:name w:val="WW8Num18z2"/>
    <w:rPr>
      <w:rFonts w:ascii="Wingdings" w:hAnsi="Wingdings" w:cs="Wingdings"/>
    </w:rPr>
  </w:style>
  <w:style w:type="character" w:styleId="WW8Num18z3">
    <w:name w:val="WW8Num18z3"/>
    <w:rPr>
      <w:rFonts w:ascii="Symbol" w:hAnsi="Symbol" w:cs="Symbol"/>
    </w:rPr>
  </w:style>
  <w:style w:type="character" w:styleId="WW8Num19z0">
    <w:name w:val="WW8Num19z0"/>
    <w:rPr>
      <w:rFonts w:ascii="Symbol" w:hAnsi="Symbol" w:cs="Symbol"/>
    </w:rPr>
  </w:style>
  <w:style w:type="character" w:styleId="WW8Num19z1">
    <w:name w:val="WW8Num19z1"/>
    <w:rPr>
      <w:rFonts w:ascii="Times New Roman" w:hAnsi="Times New Roman" w:cs="Times New Roman"/>
    </w:rPr>
  </w:style>
  <w:style w:type="character" w:styleId="WW8Num19z2">
    <w:name w:val="WW8Num19z2"/>
    <w:rPr>
      <w:rFonts w:ascii="Wingdings" w:hAnsi="Wingdings" w:cs="Wingdings"/>
    </w:rPr>
  </w:style>
  <w:style w:type="character" w:styleId="WW8Num20z0">
    <w:name w:val="WW8Num20z0"/>
    <w:rPr>
      <w:rFonts w:ascii="Symbol" w:hAnsi="Symbol" w:cs="Symbol"/>
      <w:sz w:val="20"/>
    </w:rPr>
  </w:style>
  <w:style w:type="character" w:styleId="WW8Num20z1">
    <w:name w:val="WW8Num20z1"/>
    <w:rPr>
      <w:rFonts w:ascii="Times New Roman" w:hAnsi="Times New Roman" w:cs="Times New Roman"/>
      <w:sz w:val="20"/>
    </w:rPr>
  </w:style>
  <w:style w:type="character" w:styleId="WW8Num20z2">
    <w:name w:val="WW8Num20z2"/>
    <w:rPr>
      <w:rFonts w:ascii="Wingdings" w:hAnsi="Wingdings" w:cs="Wingdings"/>
      <w:sz w:val="20"/>
    </w:rPr>
  </w:style>
  <w:style w:type="character" w:styleId="WW8Num21z0">
    <w:name w:val="WW8Num21z0"/>
    <w:rPr>
      <w:rFonts w:ascii="Wingdings" w:hAnsi="Wingdings" w:cs="Wingdings"/>
    </w:rPr>
  </w:style>
  <w:style w:type="character" w:styleId="WW8Num21z1">
    <w:name w:val="WW8Num21z1"/>
    <w:rPr>
      <w:rFonts w:ascii="Times New Roman" w:hAnsi="Times New Roman" w:cs="Times New Roman"/>
    </w:rPr>
  </w:style>
  <w:style w:type="character" w:styleId="WW8Num21z3">
    <w:name w:val="WW8Num21z3"/>
    <w:rPr>
      <w:rFonts w:ascii="Symbol" w:hAnsi="Symbol" w:cs="Symbol"/>
    </w:rPr>
  </w:style>
  <w:style w:type="character" w:styleId="WW8Num22z0">
    <w:name w:val="WW8Num22z0"/>
    <w:rPr>
      <w:rFonts w:ascii="Symbol" w:hAnsi="Symbol" w:cs="Symbol"/>
      <w:sz w:val="20"/>
    </w:rPr>
  </w:style>
  <w:style w:type="character" w:styleId="WW8Num22z1">
    <w:name w:val="WW8Num22z1"/>
    <w:rPr>
      <w:rFonts w:ascii="Times New Roman" w:hAnsi="Times New Roman" w:eastAsia="Times New Roman" w:cs="Times New Roman"/>
    </w:rPr>
  </w:style>
  <w:style w:type="character" w:styleId="WW8Num22z2">
    <w:name w:val="WW8Num22z2"/>
    <w:rPr>
      <w:rFonts w:ascii="Wingdings" w:hAnsi="Wingdings" w:cs="Wingdings"/>
      <w:sz w:val="20"/>
    </w:rPr>
  </w:style>
  <w:style w:type="character" w:styleId="WW8Num23z0">
    <w:name w:val="WW8Num23z0"/>
    <w:rPr>
      <w:rFonts w:ascii="Wingdings" w:hAnsi="Wingdings" w:cs="Wingdings"/>
    </w:rPr>
  </w:style>
  <w:style w:type="character" w:styleId="WW8Num23z1">
    <w:name w:val="WW8Num23z1"/>
    <w:rPr>
      <w:rFonts w:ascii="Times New Roman" w:hAnsi="Times New Roman" w:cs="Times New Roman"/>
    </w:rPr>
  </w:style>
  <w:style w:type="character" w:styleId="WW8Num23z3">
    <w:name w:val="WW8Num23z3"/>
    <w:rPr>
      <w:rFonts w:ascii="Symbol" w:hAnsi="Symbol" w:cs="Symbol"/>
    </w:rPr>
  </w:style>
  <w:style w:type="character" w:styleId="WW8Num25z0">
    <w:name w:val="WW8Num25z0"/>
    <w:rPr>
      <w:rFonts w:ascii="Wingdings" w:hAnsi="Wingdings" w:cs="Wingdings"/>
    </w:rPr>
  </w:style>
  <w:style w:type="character" w:styleId="WW8Num25z1">
    <w:name w:val="WW8Num25z1"/>
    <w:rPr>
      <w:rFonts w:ascii="Times New Roman" w:hAnsi="Times New Roman" w:cs="Times New Roman"/>
    </w:rPr>
  </w:style>
  <w:style w:type="character" w:styleId="WW8Num25z3">
    <w:name w:val="WW8Num25z3"/>
    <w:rPr>
      <w:rFonts w:ascii="Symbol" w:hAnsi="Symbol" w:cs="Symbol"/>
    </w:rPr>
  </w:style>
  <w:style w:type="character" w:styleId="WW8Num26z0">
    <w:name w:val="WW8Num26z0"/>
    <w:rPr>
      <w:rFonts w:ascii="Times New Roman" w:hAnsi="Times New Roman" w:cs="Times New Roman"/>
    </w:rPr>
  </w:style>
  <w:style w:type="character" w:styleId="WW8Num26z2">
    <w:name w:val="WW8Num26z2"/>
    <w:rPr>
      <w:rFonts w:ascii="Wingdings" w:hAnsi="Wingdings" w:cs="Wingdings"/>
    </w:rPr>
  </w:style>
  <w:style w:type="character" w:styleId="WW8Num26z3">
    <w:name w:val="WW8Num26z3"/>
    <w:rPr>
      <w:rFonts w:ascii="Symbol" w:hAnsi="Symbol" w:cs="Symbol"/>
    </w:rPr>
  </w:style>
  <w:style w:type="character" w:styleId="WW8Num27z0">
    <w:name w:val="WW8Num27z0"/>
    <w:rPr>
      <w:rFonts w:ascii="Symbol" w:hAnsi="Symbol" w:cs="Symbol"/>
      <w:sz w:val="20"/>
    </w:rPr>
  </w:style>
  <w:style w:type="character" w:styleId="WW8Num27z1">
    <w:name w:val="WW8Num27z1"/>
    <w:rPr>
      <w:rFonts w:ascii="Times New Roman" w:hAnsi="Times New Roman" w:cs="Times New Roman"/>
      <w:sz w:val="20"/>
    </w:rPr>
  </w:style>
  <w:style w:type="character" w:styleId="WW8Num27z2">
    <w:name w:val="WW8Num27z2"/>
    <w:rPr>
      <w:rFonts w:ascii="Wingdings" w:hAnsi="Wingdings" w:cs="Wingdings"/>
      <w:sz w:val="20"/>
    </w:rPr>
  </w:style>
  <w:style w:type="character" w:styleId="WW8Num30z0">
    <w:name w:val="WW8Num30z0"/>
    <w:rPr>
      <w:rFonts w:ascii="Wingdings" w:hAnsi="Wingdings" w:cs="Wingdings"/>
    </w:rPr>
  </w:style>
  <w:style w:type="character" w:styleId="WW8Num30z1">
    <w:name w:val="WW8Num30z1"/>
    <w:rPr>
      <w:rFonts w:ascii="Times New Roman" w:hAnsi="Times New Roman" w:cs="Times New Roman"/>
    </w:rPr>
  </w:style>
  <w:style w:type="character" w:styleId="WW8Num30z3">
    <w:name w:val="WW8Num30z3"/>
    <w:rPr>
      <w:rFonts w:ascii="Symbol" w:hAnsi="Symbol" w:cs="Symbol"/>
    </w:rPr>
  </w:style>
  <w:style w:type="character" w:styleId="WW8Num31z0">
    <w:name w:val="WW8Num31z0"/>
    <w:rPr>
      <w:rFonts w:ascii="Wingdings" w:hAnsi="Wingdings" w:cs="Wingdings"/>
    </w:rPr>
  </w:style>
  <w:style w:type="character" w:styleId="WW8Num31z1">
    <w:name w:val="WW8Num31z1"/>
    <w:rPr>
      <w:rFonts w:ascii="Times New Roman" w:hAnsi="Times New Roman" w:cs="Times New Roman"/>
    </w:rPr>
  </w:style>
  <w:style w:type="character" w:styleId="WW8Num31z3">
    <w:name w:val="WW8Num31z3"/>
    <w:rPr>
      <w:rFonts w:ascii="Symbol" w:hAnsi="Symbol" w:cs="Symbol"/>
    </w:rPr>
  </w:style>
  <w:style w:type="character" w:styleId="WW8Num32z0">
    <w:name w:val="WW8Num32z0"/>
    <w:rPr>
      <w:rFonts w:ascii="Times New Roman" w:hAnsi="Times New Roman" w:eastAsia="Times New Roman" w:cs="Times New Roman"/>
      <w:color w:val="000000"/>
    </w:rPr>
  </w:style>
  <w:style w:type="character" w:styleId="WW8Num32z1">
    <w:name w:val="WW8Num32z1"/>
    <w:rPr>
      <w:rFonts w:ascii="Times New Roman" w:hAnsi="Times New Roman" w:cs="Times New Roman"/>
    </w:rPr>
  </w:style>
  <w:style w:type="character" w:styleId="WW8Num32z2">
    <w:name w:val="WW8Num32z2"/>
    <w:rPr>
      <w:rFonts w:ascii="Wingdings" w:hAnsi="Wingdings" w:cs="Wingdings"/>
    </w:rPr>
  </w:style>
  <w:style w:type="character" w:styleId="WW8Num32z3">
    <w:name w:val="WW8Num32z3"/>
    <w:rPr>
      <w:rFonts w:ascii="Symbol" w:hAnsi="Symbol" w:cs="Symbol"/>
    </w:rPr>
  </w:style>
  <w:style w:type="character" w:styleId="WW8Num33z0">
    <w:name w:val="WW8Num33z0"/>
    <w:rPr>
      <w:rFonts w:ascii="Times New Roman" w:hAnsi="Times New Roman" w:eastAsia="Times New Roman" w:cs="Times New Roman"/>
    </w:rPr>
  </w:style>
  <w:style w:type="character" w:styleId="WW8Num33z1">
    <w:name w:val="WW8Num33z1"/>
    <w:rPr>
      <w:rFonts w:ascii="Times New Roman" w:hAnsi="Times New Roman" w:cs="Times New Roman"/>
    </w:rPr>
  </w:style>
  <w:style w:type="character" w:styleId="WW8Num33z2">
    <w:name w:val="WW8Num33z2"/>
    <w:rPr>
      <w:rFonts w:ascii="Times New Roman" w:hAnsi="Times New Roman" w:eastAsia="Times New Roman" w:cs="Symbol"/>
    </w:rPr>
  </w:style>
  <w:style w:type="character" w:styleId="WW8Num33z3">
    <w:name w:val="WW8Num33z3"/>
    <w:rPr>
      <w:rFonts w:ascii="Symbol" w:hAnsi="Symbol" w:cs="Symbol"/>
    </w:rPr>
  </w:style>
  <w:style w:type="character" w:styleId="WW8Num33z5">
    <w:name w:val="WW8Num33z5"/>
    <w:rPr>
      <w:rFonts w:ascii="Wingdings" w:hAnsi="Wingdings" w:cs="Wingdings"/>
    </w:rPr>
  </w:style>
  <w:style w:type="character" w:styleId="WW8Num35z0">
    <w:name w:val="WW8Num35z0"/>
    <w:rPr>
      <w:rFonts w:ascii="Times New Roman" w:hAnsi="Times New Roman" w:eastAsia="Times New Roman" w:cs="Times New Roman"/>
    </w:rPr>
  </w:style>
  <w:style w:type="character" w:styleId="WW8Num35z1">
    <w:name w:val="WW8Num35z1"/>
    <w:rPr>
      <w:rFonts w:ascii="Wingdings" w:hAnsi="Wingdings" w:cs="Wingdings"/>
    </w:rPr>
  </w:style>
  <w:style w:type="character" w:styleId="WW8Num35z2">
    <w:name w:val="WW8Num35z2"/>
    <w:rPr>
      <w:rFonts w:ascii="Times New Roman" w:hAnsi="Times New Roman" w:cs="Times New Roman"/>
    </w:rPr>
  </w:style>
  <w:style w:type="character" w:styleId="WW8Num35z3">
    <w:name w:val="WW8Num35z3"/>
    <w:rPr>
      <w:rFonts w:ascii="Symbol" w:hAnsi="Symbol" w:cs="Symbol"/>
    </w:rPr>
  </w:style>
  <w:style w:type="character" w:styleId="Policepardfaut1">
    <w:name w:val="Police par défaut1"/>
    <w:rPr/>
  </w:style>
  <w:style w:type="character" w:styleId="PageNumber">
    <w:name w:val="page number"/>
    <w:basedOn w:val="Policepardfaut1"/>
    <w:rPr/>
  </w:style>
  <w:style w:type="character" w:styleId="Caractresdenotedebasdepage">
    <w:name w:val="Caractères de note de bas de page"/>
    <w:rPr>
      <w:vertAlign w:val="superscript"/>
    </w:rPr>
  </w:style>
  <w:style w:type="character" w:styleId="Hyperlink">
    <w:name w:val="Hyperlink"/>
    <w:rPr>
      <w:color w:val="000000"/>
      <w:u w:val="single"/>
    </w:rPr>
  </w:style>
  <w:style w:type="character" w:styleId="VIGREUXFlora">
    <w:name w:val="VIGREUX Flora"/>
    <w:rPr>
      <w:rFonts w:ascii="Times New Roman" w:hAnsi="Times New Roman" w:cs="Times New Roman"/>
      <w:color w:val="000000"/>
      <w:sz w:val="20"/>
      <w:szCs w:val="20"/>
    </w:rPr>
  </w:style>
  <w:style w:type="character" w:styleId="Strong">
    <w:name w:val="Strong"/>
    <w:rPr>
      <w:b/>
      <w:bCs/>
    </w:rPr>
  </w:style>
  <w:style w:type="character" w:styleId="FollowedHyperlink">
    <w:name w:val="FollowedHyperlink"/>
    <w:rPr>
      <w:color w:val="000000"/>
      <w:u w:val="single"/>
    </w:rPr>
  </w:style>
  <w:style w:type="character" w:styleId="Marquedecommentaire1">
    <w:name w:val="Marque de commentaire1"/>
    <w:rPr>
      <w:sz w:val="16"/>
    </w:rPr>
  </w:style>
  <w:style w:type="character" w:styleId="CarCar">
    <w:name w:val=" Car Car"/>
    <w:rPr>
      <w:sz w:val="24"/>
      <w:szCs w:val="24"/>
      <w:lang w:val="fr-FR" w:bidi="ar-SA"/>
    </w:rPr>
  </w:style>
  <w:style w:type="character" w:styleId="Marquedecommentaire">
    <w:name w:val="Marque de commentaire"/>
    <w:rPr>
      <w:sz w:val="16"/>
      <w:szCs w:val="16"/>
    </w:rPr>
  </w:style>
  <w:style w:type="character" w:styleId="CommentaireCar">
    <w:name w:val="Commentaire Car"/>
    <w:rPr/>
  </w:style>
  <w:style w:type="character" w:styleId="Marquedecommentaire2">
    <w:name w:val="Marque de commentaire2"/>
    <w:rPr>
      <w:sz w:val="16"/>
      <w:szCs w:val="16"/>
    </w:rPr>
  </w:style>
  <w:style w:type="character" w:styleId="Corpsdetexte2Car">
    <w:name w:val="Corps de texte 2 Car"/>
    <w:rPr>
      <w:sz w:val="24"/>
      <w:szCs w:val="24"/>
    </w:rPr>
  </w:style>
  <w:style w:type="character" w:styleId="Normal2Car">
    <w:name w:val="Normal2 Car"/>
    <w:rPr>
      <w:sz w:val="22"/>
    </w:rPr>
  </w:style>
  <w:style w:type="character" w:styleId="06ARTICLENiv2-TexteCar">
    <w:name w:val="06_ARTICLE_Niv2 - Texte Car"/>
    <w:rPr>
      <w:rFonts w:ascii="Times New Roman" w:hAnsi="Times New Roman" w:cs="Times New Roman"/>
      <w:spacing w:val="-6"/>
      <w:lang w:val="en-US" w:eastAsia="en-US"/>
    </w:rPr>
  </w:style>
  <w:style w:type="paragraph" w:styleId="Heading">
    <w:name w:val="Heading"/>
    <w:basedOn w:val="Normal"/>
    <w:next w:val="BodyText"/>
    <w:pPr>
      <w:keepNext w:val="true"/>
      <w:spacing w:before="240" w:after="120"/>
    </w:pPr>
    <w:rPr>
      <w:rFonts w:ascii="Times New Roman" w:hAnsi="Times New Roman" w:eastAsia="Times New Roman" w:cs="Times New Roman"/>
      <w:sz w:val="28"/>
      <w:szCs w:val="28"/>
    </w:rPr>
  </w:style>
  <w:style w:type="paragraph" w:styleId="BodyText">
    <w:name w:val="Body Text"/>
    <w:basedOn w:val="Normal"/>
    <w:pPr>
      <w:jc w:val="both"/>
    </w:pPr>
    <w:rPr/>
  </w:style>
  <w:style w:type="paragraph" w:styleId="List">
    <w:name w:val="List"/>
    <w:basedOn w:val="BodyText"/>
    <w:pPr/>
    <w:rPr>
      <w:rFonts w:cs="Times New Roman" w:ascii="Times New Roman" w:hAnsi="Times New Roman"/>
    </w:rPr>
  </w:style>
  <w:style w:type="paragraph" w:styleId="Caption">
    <w:name w:val="caption"/>
    <w:basedOn w:val="Normal"/>
    <w:pPr>
      <w:suppressLineNumbers/>
      <w:spacing w:before="120" w:after="120"/>
    </w:pPr>
    <w:rPr>
      <w:rFonts w:cs="Times New Roman" w:ascii="Times New Roman" w:hAnsi="Times New Roman"/>
      <w:i/>
      <w:iCs/>
      <w:sz w:val="24"/>
      <w:szCs w:val="24"/>
    </w:rPr>
  </w:style>
  <w:style w:type="paragraph" w:styleId="Index">
    <w:name w:val="Index"/>
    <w:basedOn w:val="Normal"/>
    <w:pPr>
      <w:suppressLineNumbers/>
    </w:pPr>
    <w:rPr>
      <w:rFonts w:cs="Times New Roman" w:ascii="Times New Roman" w:hAnsi="Times New Roman"/>
    </w:rPr>
  </w:style>
  <w:style w:type="paragraph" w:styleId="Titre1">
    <w:name w:val="Titre1"/>
    <w:basedOn w:val="Normal"/>
    <w:next w:val="BodyText"/>
    <w:pPr>
      <w:keepNext w:val="true"/>
      <w:spacing w:before="240" w:after="120"/>
    </w:pPr>
    <w:rPr>
      <w:rFonts w:ascii="Times New Roman" w:hAnsi="Times New Roman" w:eastAsia="Times New Roman" w:cs="Times New Roman"/>
      <w:sz w:val="28"/>
      <w:szCs w:val="28"/>
    </w:rPr>
  </w:style>
  <w:style w:type="paragraph" w:styleId="Lgende">
    <w:name w:val="Légende"/>
    <w:basedOn w:val="Normal"/>
    <w:pPr>
      <w:suppressLineNumbers/>
      <w:spacing w:before="120" w:after="120"/>
    </w:pPr>
    <w:rPr>
      <w:rFonts w:cs="Times New Roman" w:ascii="Times New Roman" w:hAnsi="Times New Roman"/>
      <w:i/>
      <w:iCs/>
      <w:sz w:val="24"/>
      <w:szCs w:val="24"/>
    </w:rPr>
  </w:style>
  <w:style w:type="paragraph" w:styleId="Corpsdetexte21">
    <w:name w:val="Corps de texte 21"/>
    <w:basedOn w:val="Normal"/>
    <w:pPr>
      <w:jc w:val="both"/>
    </w:pPr>
    <w:rPr>
      <w:i/>
      <w:iCs/>
    </w:rPr>
  </w:style>
  <w:style w:type="paragraph" w:styleId="HeaderandFooter">
    <w:name w:val="Header and Footer"/>
    <w:basedOn w:val="Normal"/>
    <w:pPr>
      <w:suppressLineNumbers/>
      <w:tabs>
        <w:tab w:val="clear" w:pos="709"/>
        <w:tab w:val="center" w:pos="4819" w:leader="none"/>
        <w:tab w:val="right" w:pos="9638" w:leader="none"/>
      </w:tabs>
    </w:pPr>
    <w:rPr/>
  </w:style>
  <w:style w:type="paragraph" w:styleId="Footer">
    <w:name w:val="footer"/>
    <w:basedOn w:val="Normal"/>
    <w:pPr>
      <w:tabs>
        <w:tab w:val="clear" w:pos="709"/>
        <w:tab w:val="center" w:pos="4536" w:leader="none"/>
        <w:tab w:val="right" w:pos="9072" w:leader="none"/>
      </w:tabs>
    </w:pPr>
    <w:rPr/>
  </w:style>
  <w:style w:type="paragraph" w:styleId="Header">
    <w:name w:val="header"/>
    <w:basedOn w:val="Normal"/>
    <w:pPr>
      <w:tabs>
        <w:tab w:val="clear" w:pos="709"/>
        <w:tab w:val="center" w:pos="4536" w:leader="none"/>
        <w:tab w:val="right" w:pos="9072" w:leader="none"/>
      </w:tabs>
    </w:pPr>
    <w:rPr/>
  </w:style>
  <w:style w:type="paragraph" w:styleId="Style21">
    <w:name w:val="Style2"/>
    <w:basedOn w:val="Normal"/>
    <w:pPr>
      <w:overflowPunct w:val="false"/>
      <w:autoSpaceDE w:val="false"/>
      <w:jc w:val="center"/>
    </w:pPr>
    <w:rPr>
      <w:rFonts w:ascii="Times New Roman" w:hAnsi="Times New Roman" w:cs="Times New Roman"/>
      <w:b/>
      <w:szCs w:val="20"/>
    </w:rPr>
  </w:style>
  <w:style w:type="paragraph" w:styleId="FootnoteText">
    <w:name w:val="footnote text"/>
    <w:basedOn w:val="Normal"/>
    <w:pPr/>
    <w:rPr>
      <w:sz w:val="20"/>
      <w:szCs w:val="20"/>
    </w:rPr>
  </w:style>
  <w:style w:type="paragraph" w:styleId="Style11">
    <w:name w:val="Style1"/>
    <w:basedOn w:val="Normal"/>
    <w:pPr>
      <w:overflowPunct w:val="false"/>
      <w:autoSpaceDE w:val="false"/>
      <w:jc w:val="both"/>
      <w:textAlignment w:val="baseline"/>
    </w:pPr>
    <w:rPr>
      <w:szCs w:val="20"/>
    </w:rPr>
  </w:style>
  <w:style w:type="paragraph" w:styleId="Retraitnormal1">
    <w:name w:val="Retrait normal1"/>
    <w:basedOn w:val="Normal"/>
    <w:pPr>
      <w:ind w:hanging="0" w:start="708" w:end="0"/>
    </w:pPr>
    <w:rPr/>
  </w:style>
  <w:style w:type="paragraph" w:styleId="TOC1">
    <w:name w:val="toc 1"/>
    <w:basedOn w:val="Normal"/>
    <w:next w:val="Normal"/>
    <w:pPr/>
    <w:rPr/>
  </w:style>
  <w:style w:type="paragraph" w:styleId="TOC2">
    <w:name w:val="toc 2"/>
    <w:basedOn w:val="Normal"/>
    <w:next w:val="Normal"/>
    <w:pPr>
      <w:ind w:hanging="0" w:start="240" w:end="0"/>
    </w:pPr>
    <w:rPr/>
  </w:style>
  <w:style w:type="paragraph" w:styleId="Corpsdetexte31">
    <w:name w:val="Corps de texte 31"/>
    <w:basedOn w:val="Normal"/>
    <w:pPr>
      <w:spacing w:before="0" w:after="120"/>
    </w:pPr>
    <w:rPr>
      <w:sz w:val="16"/>
      <w:szCs w:val="16"/>
    </w:rPr>
  </w:style>
  <w:style w:type="paragraph" w:styleId="TOC3">
    <w:name w:val="toc 3"/>
    <w:basedOn w:val="Normal"/>
    <w:next w:val="Normal"/>
    <w:pPr>
      <w:ind w:hanging="0" w:start="480" w:end="0"/>
    </w:pPr>
    <w:rPr/>
  </w:style>
  <w:style w:type="paragraph" w:styleId="Textedebulles">
    <w:name w:val="Texte de bulles"/>
    <w:basedOn w:val="Normal"/>
    <w:pPr/>
    <w:rPr>
      <w:rFonts w:ascii="Times New Roman" w:hAnsi="Times New Roman" w:cs="Times New Roman"/>
      <w:sz w:val="16"/>
      <w:szCs w:val="16"/>
    </w:rPr>
  </w:style>
  <w:style w:type="paragraph" w:styleId="Listepuces1">
    <w:name w:val="Liste à puces1"/>
    <w:basedOn w:val="Normal"/>
    <w:pPr>
      <w:numPr>
        <w:ilvl w:val="0"/>
        <w:numId w:val="2"/>
      </w:numPr>
    </w:pPr>
    <w:rPr/>
  </w:style>
  <w:style w:type="paragraph" w:styleId="NormalWeb">
    <w:name w:val="Normal (Web)"/>
    <w:basedOn w:val="Normal"/>
    <w:pPr>
      <w:spacing w:before="280" w:after="280"/>
    </w:pPr>
    <w:rPr/>
  </w:style>
  <w:style w:type="paragraph" w:styleId="Texte">
    <w:name w:val="Texte"/>
    <w:basedOn w:val="Normal"/>
    <w:pPr/>
    <w:rPr>
      <w:rFonts w:ascii="Times New Roman" w:hAnsi="Times New Roman" w:cs="Times New Roman"/>
      <w:shadow/>
      <w:sz w:val="20"/>
      <w:szCs w:val="20"/>
      <w:lang w:val="en-US" w:eastAsia="en-US"/>
    </w:rPr>
  </w:style>
  <w:style w:type="paragraph" w:styleId="Commentaire1">
    <w:name w:val="Commentaire1"/>
    <w:basedOn w:val="Normal"/>
    <w:pPr/>
    <w:rPr>
      <w:rFonts w:ascii="Times New Roman" w:hAnsi="Times New Roman" w:cs="Times New Roman"/>
      <w:sz w:val="20"/>
      <w:szCs w:val="20"/>
    </w:rPr>
  </w:style>
  <w:style w:type="paragraph" w:styleId="BodyText2">
    <w:name w:val="Body Text 2"/>
    <w:basedOn w:val="Normal"/>
    <w:pPr>
      <w:jc w:val="both"/>
    </w:pPr>
    <w:rPr>
      <w:rFonts w:ascii="Times New Roman" w:hAnsi="Times New Roman" w:cs="Times New Roman"/>
      <w:szCs w:val="20"/>
    </w:rPr>
  </w:style>
  <w:style w:type="paragraph" w:styleId="Retraitcorpsdetexte21">
    <w:name w:val="Retrait corps de texte 21"/>
    <w:basedOn w:val="Normal"/>
    <w:pPr>
      <w:spacing w:lineRule="auto" w:line="480" w:before="0" w:after="120"/>
      <w:ind w:hanging="0" w:start="283" w:end="0"/>
    </w:pPr>
    <w:rPr/>
  </w:style>
  <w:style w:type="paragraph" w:styleId="Retraitcorpsdetexte31">
    <w:name w:val="Retrait corps de texte 31"/>
    <w:basedOn w:val="Normal"/>
    <w:pPr>
      <w:spacing w:before="0" w:after="120"/>
      <w:ind w:hanging="0" w:start="283" w:end="0"/>
    </w:pPr>
    <w:rPr>
      <w:rFonts w:ascii="Times New Roman" w:hAnsi="Times New Roman" w:cs="Times New Roman"/>
      <w:shadow/>
      <w:sz w:val="16"/>
      <w:szCs w:val="16"/>
    </w:rPr>
  </w:style>
  <w:style w:type="paragraph" w:styleId="BodyTextIndent">
    <w:name w:val="Body Text Indent"/>
    <w:basedOn w:val="Normal"/>
    <w:pPr>
      <w:spacing w:before="0" w:after="120"/>
      <w:ind w:hanging="0" w:start="283" w:end="0"/>
    </w:pPr>
    <w:rPr/>
  </w:style>
  <w:style w:type="paragraph" w:styleId="12para1">
    <w:name w:val="12/para1"/>
    <w:basedOn w:val="Retraitnormal1"/>
    <w:pPr>
      <w:spacing w:before="0" w:after="240"/>
      <w:ind w:firstLine="709" w:start="0" w:end="0"/>
      <w:jc w:val="both"/>
    </w:pPr>
    <w:rPr>
      <w:rFonts w:ascii="Times New Roman" w:hAnsi="Times New Roman" w:cs="Times New Roman"/>
      <w:sz w:val="22"/>
      <w:szCs w:val="22"/>
    </w:rPr>
  </w:style>
  <w:style w:type="paragraph" w:styleId="Objetducommentaire">
    <w:name w:val="Objet du commentaire"/>
    <w:basedOn w:val="Commentaire1"/>
    <w:next w:val="Commentaire1"/>
    <w:pPr/>
    <w:rPr>
      <w:rFonts w:ascii="Times New Roman" w:hAnsi="Times New Roman" w:cs="Times New Roman"/>
      <w:b/>
      <w:bCs/>
    </w:rPr>
  </w:style>
  <w:style w:type="paragraph" w:styleId="Contenudetableau">
    <w:name w:val="Contenu de tableau"/>
    <w:basedOn w:val="Normal"/>
    <w:pPr>
      <w:suppressLineNumbers/>
    </w:pPr>
    <w:rPr/>
  </w:style>
  <w:style w:type="paragraph" w:styleId="Titredetableau">
    <w:name w:val="Titre de tableau"/>
    <w:basedOn w:val="Contenudetableau"/>
    <w:pPr>
      <w:suppressLineNumbers/>
      <w:jc w:val="center"/>
    </w:pPr>
    <w:rPr>
      <w:b/>
      <w:bCs/>
    </w:rPr>
  </w:style>
  <w:style w:type="paragraph" w:styleId="Contenudecadre">
    <w:name w:val="Contenu de cadre"/>
    <w:basedOn w:val="BodyText"/>
    <w:pPr/>
    <w:rPr/>
  </w:style>
  <w:style w:type="paragraph" w:styleId="Commentaire">
    <w:name w:val="Commentaire"/>
    <w:basedOn w:val="Normal"/>
    <w:pPr/>
    <w:rPr>
      <w:sz w:val="20"/>
      <w:szCs w:val="20"/>
    </w:rPr>
  </w:style>
  <w:style w:type="paragraph" w:styleId="Paragraphedeliste">
    <w:name w:val="Paragraphe de liste"/>
    <w:basedOn w:val="Normal"/>
    <w:pPr>
      <w:ind w:hanging="0" w:start="708" w:end="0"/>
    </w:pPr>
    <w:rPr/>
  </w:style>
  <w:style w:type="paragraph" w:styleId="Corpsdetexte2">
    <w:name w:val="Corps de texte 2"/>
    <w:basedOn w:val="Normal"/>
    <w:pPr>
      <w:spacing w:lineRule="auto" w:line="480" w:before="0" w:after="120"/>
    </w:pPr>
    <w:rPr/>
  </w:style>
  <w:style w:type="paragraph" w:styleId="Normal2">
    <w:name w:val="Normal2"/>
    <w:basedOn w:val="Normal"/>
    <w:pPr>
      <w:keepLines/>
      <w:tabs>
        <w:tab w:val="clear" w:pos="709"/>
        <w:tab w:val="left" w:pos="567" w:leader="none"/>
        <w:tab w:val="left" w:pos="851" w:leader="none"/>
        <w:tab w:val="left" w:pos="1134" w:leader="none"/>
      </w:tabs>
      <w:suppressAutoHyphens w:val="false"/>
      <w:ind w:firstLine="284" w:start="284" w:end="0"/>
      <w:jc w:val="both"/>
    </w:pPr>
    <w:rPr>
      <w:sz w:val="22"/>
      <w:szCs w:val="20"/>
    </w:rPr>
  </w:style>
  <w:style w:type="paragraph" w:styleId="06ARTICLENiv2-Texte">
    <w:name w:val="06_ARTICLE_Niv2 - Texte"/>
    <w:basedOn w:val="Normal"/>
    <w:pPr>
      <w:suppressAutoHyphens w:val="false"/>
      <w:spacing w:before="0" w:after="120"/>
      <w:ind w:hanging="0" w:start="284" w:end="0"/>
      <w:jc w:val="both"/>
    </w:pPr>
    <w:rPr>
      <w:rFonts w:ascii="Times New Roman" w:hAnsi="Times New Roman" w:cs="Times New Roman"/>
      <w:spacing w:val="-6"/>
      <w:sz w:val="20"/>
      <w:szCs w:val="20"/>
      <w:lang w:val="en-US" w:eastAsia="en-US"/>
    </w:rPr>
  </w:style>
  <w:style w:type="paragraph" w:styleId="Default">
    <w:name w:val="Default"/>
    <w:pPr>
      <w:widowControl/>
      <w:autoSpaceDE w:val="false"/>
      <w:bidi w:val="0"/>
    </w:pPr>
    <w:rPr>
      <w:rFonts w:ascii="Times New Roman" w:hAnsi="Times New Roman" w:eastAsia="Times New Roman" w:cs="Times New Roman"/>
      <w:color w:val="000000"/>
      <w:sz w:val="24"/>
      <w:szCs w:val="24"/>
      <w:lang w:val="fr-FR" w:bidi="ar-SA" w:eastAsia="zh-CN"/>
    </w:rPr>
  </w:style>
  <w:style w:type="paragraph" w:styleId="TableContents">
    <w:name w:val="Table Contents"/>
    <w:basedOn w:val="Normal"/>
    <w:pPr>
      <w:widowControl w:val="false"/>
      <w:suppressLineNumbers/>
    </w:pPr>
    <w:rPr/>
  </w:style>
  <w:style w:type="paragraph" w:styleId="TableHeading">
    <w:name w:val="Table Heading"/>
    <w:basedOn w:val="TableContents"/>
    <w:pPr>
      <w:suppressLineNumbers/>
      <w:jc w:val="center"/>
    </w:pPr>
    <w:rPr>
      <w:b/>
      <w:bCs/>
    </w:rPr>
  </w:style>
  <w:style w:type="paragraph" w:styleId="FrameContents">
    <w:name w:val="Frame Contents"/>
    <w:basedOn w:val="Normal"/>
    <w:pPr/>
    <w:rPr/>
  </w:style>
  <w:style w:type="numbering" w:styleId="WW8Num1">
    <w:name w:val="WW8Num1"/>
  </w:style>
  <w:style w:type="numbering" w:styleId="WW8Num2">
    <w:name w:val="WW8Num2"/>
  </w:style>
  <w:style w:type="numbering" w:styleId="WW8Num3">
    <w:name w:val="WW8Num3"/>
  </w:style>
  <w:style w:type="numbering" w:styleId="WW8Num4">
    <w:name w:val="WW8Num4"/>
  </w:style>
  <w:style w:type="numbering" w:styleId="WW8Num5">
    <w:name w:val="WW8Num5"/>
  </w:style>
  <w:style w:type="numbering" w:styleId="WW8Num6">
    <w:name w:val="WW8Num6"/>
  </w:style>
  <w:style w:type="numbering" w:styleId="WW8Num7">
    <w:name w:val="WW8Num7"/>
  </w:style>
  <w:style w:type="numbering" w:styleId="WW8Num8">
    <w:name w:val="WW8Num8"/>
  </w:style>
  <w:style w:type="numbering" w:styleId="WW8Num9">
    <w:name w:val="WW8Num9"/>
  </w:style>
  <w:style w:type="numbering" w:styleId="WW8Num10">
    <w:name w:val="WW8Num10"/>
  </w:style>
  <w:style w:type="numbering" w:styleId="WW8Num11">
    <w:name w:val="WW8Num11"/>
  </w:style>
  <w:style w:type="numbering" w:styleId="WW8Num12">
    <w:name w:val="WW8Num12"/>
  </w:style>
  <w:style w:type="numbering" w:styleId="WW8Num13">
    <w:name w:val="WW8Num13"/>
  </w:style>
  <w:style w:type="numbering" w:styleId="WW8Num14">
    <w:name w:val="WW8Num14"/>
  </w:style>
  <w:style w:type="numbering" w:styleId="WW8Num15">
    <w:name w:val="WW8Num15"/>
  </w:style>
  <w:style w:type="numbering" w:styleId="WW8Num16">
    <w:name w:val="WW8Num16"/>
  </w:style>
  <w:style w:type="numbering" w:styleId="WW8Num17">
    <w:name w:val="WW8Num17"/>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7" Type="http://schemas.openxmlformats.org/officeDocument/2006/relationships/hyperlink" Target="https://www.maximilien.fr/" TargetMode="External"/><Relationship Id="rId8" Type="http://schemas.openxmlformats.org/officeDocument/2006/relationships/hyperlink" Target="https://dume.chorus-pro.gouv.fr/" TargetMode="External"/><Relationship Id="rId9" Type="http://schemas.openxmlformats.org/officeDocument/2006/relationships/hyperlink" Target="http://www.economie.gouv.fr/daj/formulaires" TargetMode="External"/><Relationship Id="rId10" Type="http://schemas.openxmlformats.org/officeDocument/2006/relationships/hyperlink" Target="https://marches.maximilien.fr/" TargetMode="External"/><Relationship Id="rId11" Type="http://schemas.openxmlformats.org/officeDocument/2006/relationships/hyperlink" Target="https://marches.maximilien.fr/?page=entreprise.EntrepriseGuide" TargetMode="External"/><Relationship Id="rId12" Type="http://schemas.openxmlformats.org/officeDocument/2006/relationships/hyperlink" Target="mailto:greffe.ta-montreuil@juradm.fr" TargetMode="External"/><Relationship Id="rId13" Type="http://schemas.openxmlformats.org/officeDocument/2006/relationships/footer" Target="footer1.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Relationship Id="rId4"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Application>LibreOffice/26.8.0.3$MacOSX_AARCH64 LibreOffice_project/bce0998afefdbc355585ca324285661a2170ba77</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