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70" w:type="dxa"/>
        <w:tblLayout w:type="fixed"/>
        <w:tblCellMar>
          <w:left w:w="70" w:type="dxa"/>
          <w:right w:w="70" w:type="dxa"/>
        </w:tblCellMar>
        <w:tblLook w:val="0000" w:firstRow="0" w:lastRow="0" w:firstColumn="0" w:lastColumn="0" w:noHBand="0" w:noVBand="0"/>
      </w:tblPr>
      <w:tblGrid>
        <w:gridCol w:w="4395"/>
        <w:gridCol w:w="4717"/>
      </w:tblGrid>
      <w:tr w14:paraId="383E52BB" w14:textId="77777777">
        <w:tc>
          <w:tcPr>
            <w:tcW w:w="4395" w:type="dxa"/>
            <w:tcBorders>
              <w:top w:val="single" w:sz="4" w:space="0" w:color="000000"/>
              <w:left w:val="single" w:sz="4" w:space="0" w:color="000000"/>
              <w:bottom w:val="single" w:sz="4" w:space="0" w:color="000000"/>
            </w:tcBorders>
            <w:shd w:val="clear" w:color="auto" w:fill="auto"/>
          </w:tcPr>
          <w:p w14:paraId="0172EAE8" w14:textId="79FBA8F0">
            <w:pPr>
              <w:rPr>
                <w:b/>
                <w:lang w:eastAsia="zh-CN"/>
              </w:rPr>
            </w:pPr>
          </w:p>
          <w:p w14:paraId="30AA77A9" w14:textId="77777777">
            <w:pPr>
              <w:rPr>
                <w:lang w:eastAsia="zh-CN"/>
              </w:rPr>
            </w:pPr>
          </w:p>
          <w:p w14:paraId="16BD5CC6" w14:textId="77777777">
            <w:pPr>
              <w:rPr>
                <w:lang w:eastAsia="zh-CN"/>
              </w:rPr>
            </w:pPr>
            <w:r>
              <w:rPr>
                <w:noProof/>
              </w:rPr>
              <w:drawing>
                <wp:inline distT="0" distB="0" distL="0" distR="0" wp14:anchorId="49E958BE" wp14:editId="17FE47DE">
                  <wp:extent cx="2679065" cy="100457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9065" cy="1004570"/>
                          </a:xfrm>
                          <a:prstGeom prst="rect">
                            <a:avLst/>
                          </a:prstGeom>
                          <a:noFill/>
                          <a:ln>
                            <a:noFill/>
                          </a:ln>
                        </pic:spPr>
                      </pic:pic>
                    </a:graphicData>
                  </a:graphic>
                </wp:inline>
              </w:drawing>
            </w:r>
          </w:p>
        </w:tc>
        <w:tc>
          <w:tcPr>
            <w:tcW w:w="4717" w:type="dxa"/>
            <w:tcBorders>
              <w:top w:val="single" w:sz="4" w:space="0" w:color="000000"/>
              <w:bottom w:val="single" w:sz="4" w:space="0" w:color="000000"/>
              <w:right w:val="single" w:sz="4" w:space="0" w:color="000000"/>
            </w:tcBorders>
            <w:shd w:val="clear" w:color="auto" w:fill="auto"/>
          </w:tcPr>
          <w:p w14:paraId="799CD6C1" w14:textId="77777777">
            <w:pPr>
              <w:rPr>
                <w:lang w:eastAsia="zh-CN"/>
              </w:rPr>
            </w:pPr>
          </w:p>
          <w:p w14:paraId="10E7A2DD" w14:textId="77777777">
            <w:pPr>
              <w:jc w:val="center"/>
              <w:rPr>
                <w:b/>
                <w:lang w:eastAsia="zh-CN"/>
              </w:rPr>
            </w:pPr>
            <w:r>
              <w:rPr>
                <w:b/>
                <w:lang w:eastAsia="zh-CN"/>
              </w:rPr>
              <w:t>Ville d’Aubervilliers</w:t>
            </w:r>
          </w:p>
          <w:p w14:paraId="215FB401" w14:textId="77777777">
            <w:pPr>
              <w:jc w:val="center"/>
              <w:rPr>
                <w:b/>
                <w:lang w:eastAsia="zh-CN"/>
              </w:rPr>
            </w:pPr>
          </w:p>
          <w:p w14:paraId="6F895B49" w14:textId="547E7A4E">
            <w:pPr>
              <w:jc w:val="center"/>
              <w:rPr>
                <w:b/>
                <w:lang w:eastAsia="zh-CN"/>
              </w:rPr>
            </w:pPr>
            <w:r>
              <w:rPr>
                <w:b/>
                <w:lang w:eastAsia="zh-CN"/>
              </w:rPr>
              <w:t>72</w:t>
            </w:r>
            <w:r>
              <w:rPr>
                <w:b/>
                <w:lang w:eastAsia="zh-CN"/>
              </w:rPr>
              <w:t>,</w:t>
            </w:r>
            <w:r>
              <w:rPr>
                <w:b/>
                <w:lang w:eastAsia="zh-CN"/>
              </w:rPr>
              <w:t xml:space="preserve"> rue Henri Barbusse</w:t>
            </w:r>
          </w:p>
          <w:p w14:paraId="037FDFF5" w14:textId="77777777">
            <w:pPr>
              <w:jc w:val="center"/>
              <w:rPr>
                <w:b/>
                <w:lang w:eastAsia="zh-CN"/>
              </w:rPr>
            </w:pPr>
          </w:p>
          <w:p w14:paraId="5BBF64C9" w14:textId="77777777">
            <w:pPr>
              <w:jc w:val="center"/>
              <w:rPr>
                <w:b/>
                <w:lang w:eastAsia="zh-CN"/>
              </w:rPr>
            </w:pPr>
            <w:r>
              <w:rPr>
                <w:b/>
                <w:lang w:eastAsia="zh-CN"/>
              </w:rPr>
              <w:t>93308 AUBERVILLIERS Cedex</w:t>
            </w:r>
          </w:p>
          <w:p w14:paraId="588A685B" w14:textId="77777777">
            <w:pPr>
              <w:jc w:val="center"/>
              <w:rPr>
                <w:b/>
                <w:lang w:eastAsia="zh-CN"/>
              </w:rPr>
            </w:pPr>
          </w:p>
          <w:p w14:paraId="6CB9B15D" w14:textId="77777777">
            <w:pPr>
              <w:jc w:val="center"/>
              <w:rPr>
                <w:b/>
                <w:lang w:eastAsia="zh-CN"/>
              </w:rPr>
            </w:pPr>
            <w:r>
              <w:rPr>
                <w:b/>
                <w:lang w:eastAsia="zh-CN"/>
              </w:rPr>
              <w:t>Tél. : 01.48.39.52.00</w:t>
            </w:r>
          </w:p>
          <w:p w14:paraId="00A79651" w14:textId="0C058953">
            <w:pPr>
              <w:jc w:val="center"/>
              <w:rPr>
                <w:b/>
                <w:lang w:eastAsia="zh-CN"/>
              </w:rPr>
            </w:pPr>
          </w:p>
        </w:tc>
      </w:tr>
    </w:tbl>
    <w:p w14:paraId="49F89757" w14:textId="77777777">
      <w:pPr>
        <w:rPr>
          <w:lang w:eastAsia="zh-CN"/>
        </w:rPr>
      </w:pPr>
    </w:p>
    <w:p w14:paraId="60D2CDE1" w14:textId="77777777">
      <w:pPr>
        <w:rPr>
          <w:lang w:eastAsia="zh-CN"/>
        </w:rPr>
      </w:pPr>
    </w:p>
    <w:p w14:paraId="12311273" w14:textId="77777777">
      <w:pPr>
        <w:rPr>
          <w:lang w:eastAsia="zh-CN"/>
        </w:rPr>
      </w:pPr>
    </w:p>
    <w:p w14:paraId="7F9D73DB" w14:textId="77777777">
      <w:pPr>
        <w:rPr>
          <w:lang w:eastAsia="zh-CN"/>
        </w:rPr>
      </w:pPr>
    </w:p>
    <w:p w14:paraId="56728D98" w14:textId="2D5A815E">
      <w:pPr>
        <w:jc w:val="center"/>
        <w:rPr>
          <w:b/>
          <w:u w:val="single"/>
        </w:rPr>
      </w:pPr>
      <w:r>
        <w:rPr>
          <w:b/>
          <w:u w:val="single"/>
        </w:rPr>
        <w:t>DST-16-26</w:t>
      </w:r>
      <w:r>
        <w:rPr>
          <w:b/>
          <w:u w:val="single"/>
        </w:rPr>
        <w:t/>
      </w:r>
      <w:r>
        <w:rPr>
          <w:b/>
          <w:u w:val="single"/>
        </w:rPr>
        <w:t/>
      </w:r>
      <w:r>
        <w:rPr>
          <w:b/>
          <w:u w:val="single"/>
        </w:rPr>
        <w:t/>
      </w:r>
    </w:p>
    <w:p w14:paraId="03AEF5EF" w14:textId="77777777"/>
    <w:p w14:paraId="6A1D9302" w14:textId="77777777"/>
    <w:p w14:paraId="0B9DB4FB" w14:textId="68041E53"/>
    <w:p w14:paraId="3C34C153" w14:textId="77777777">
      <w:pPr>
        <w:pStyle w:val="Style2"/>
      </w:pPr>
    </w:p>
    <w:p w14:paraId="682A1216" w14:textId="77777777">
      <w:pPr>
        <w:pStyle w:val="Style2"/>
        <w:pBdr>
          <w:top w:val="threeDEngrave" w:sz="24" w:space="1" w:color="auto"/>
          <w:left w:val="threeDEngrave" w:sz="24" w:space="4" w:color="auto"/>
          <w:bottom w:val="threeDEmboss" w:sz="24" w:space="1" w:color="auto"/>
          <w:right w:val="threeDEmboss" w:sz="24" w:space="4" w:color="auto"/>
        </w:pBdr>
        <w:jc w:val="both"/>
        <w:rPr>
          <w:rFonts w:ascii="Times New Roman" w:hAnsi="Times New Roman" w:cs="Times New Roman"/>
          <w:sz w:val="28"/>
          <w:szCs w:val="28"/>
        </w:rPr>
      </w:pPr>
    </w:p>
    <w:p w14:paraId="567F2939" w14:textId="62FEF9C2">
      <w:pPr>
        <w:pStyle w:val="Style2"/>
        <w:pBdr>
          <w:top w:val="threeDEngrave" w:sz="24" w:space="1" w:color="auto"/>
          <w:left w:val="threeDEngrave" w:sz="24" w:space="4" w:color="auto"/>
          <w:bottom w:val="threeDEmboss" w:sz="24" w:space="1" w:color="auto"/>
          <w:right w:val="threeDEmboss" w:sz="24" w:space="4" w:color="auto"/>
        </w:pBdr>
        <w:rPr>
          <w:rFonts w:ascii="Times New Roman" w:hAnsi="Times New Roman" w:cs="Times New Roman"/>
          <w:szCs w:val="24"/>
        </w:rPr>
      </w:pPr>
      <w:r>
        <w:rPr>
          <w:rFonts w:ascii="Times New Roman" w:hAnsi="Times New Roman" w:cs="Times New Roman"/>
          <w:szCs w:val="24"/>
        </w:rPr>
        <w:t>MAINTENANCE PRÉVENTIVE, CORRECTIVE</w:t>
      </w:r>
      <w:r>
        <w:rPr>
          <w:rFonts w:ascii="Times New Roman" w:hAnsi="Times New Roman" w:cs="Times New Roman"/>
          <w:szCs w:val="24"/>
        </w:rPr>
        <w:t xml:space="preserve"> ET CURATIVE</w:t>
      </w:r>
      <w:r>
        <w:rPr>
          <w:rFonts w:ascii="Times New Roman" w:hAnsi="Times New Roman" w:cs="Times New Roman"/>
          <w:szCs w:val="24"/>
        </w:rPr>
        <w:t xml:space="preserve"> DES SYSTÈMES DE DÉSENFUMAGE</w:t>
      </w:r>
      <w:r>
        <w:rPr>
          <w:rFonts w:ascii="Times New Roman" w:hAnsi="Times New Roman" w:cs="Times New Roman"/>
          <w:szCs w:val="24"/>
        </w:rPr>
        <w:t xml:space="preserve"/>
      </w:r>
      <w:r>
        <w:rPr>
          <w:rFonts w:ascii="Times New Roman" w:hAnsi="Times New Roman" w:cs="Times New Roman"/>
          <w:szCs w:val="24"/>
        </w:rPr>
        <w:t xml:space="preserve"> </w:t>
      </w:r>
      <w:r>
        <w:rPr>
          <w:rFonts w:ascii="Times New Roman" w:hAnsi="Times New Roman" w:cs="Times New Roman"/>
          <w:szCs w:val="24"/>
        </w:rPr>
        <w:t xml:space="preserve">APPARTENANT </w:t>
      </w:r>
      <w:r>
        <w:rPr>
          <w:rFonts w:ascii="Times New Roman" w:hAnsi="Times New Roman" w:cs="Times New Roman"/>
          <w:szCs w:val="24"/>
        </w:rPr>
        <w:t>À L</w:t>
      </w:r>
      <w:r>
        <w:rPr>
          <w:rFonts w:ascii="Times New Roman" w:hAnsi="Times New Roman" w:cs="Times New Roman"/>
          <w:szCs w:val="24"/>
        </w:rPr>
        <w:t>A</w:t>
      </w:r>
      <w:r>
        <w:rPr>
          <w:rFonts w:ascii="Times New Roman" w:hAnsi="Times New Roman" w:cs="Times New Roman"/>
          <w:szCs w:val="24"/>
        </w:rPr>
        <w:t xml:space="preserve"> VILLE D’AUBERVILLIERS</w:t>
      </w:r>
      <w:r>
        <w:rPr>
          <w:rFonts w:ascii="Times New Roman" w:hAnsi="Times New Roman" w:cs="Times New Roman"/>
          <w:szCs w:val="24"/>
        </w:rPr>
        <w:t xml:space="preserve"> ET AU CENTRE COMMUNAL D’ACTION SOCIALE</w:t>
      </w:r>
      <w:r>
        <w:rPr>
          <w:rFonts w:ascii="Times New Roman" w:hAnsi="Times New Roman" w:cs="Times New Roman"/>
          <w:szCs w:val="24"/>
        </w:rPr>
        <w:t xml:space="preserve"> (CCAS)</w:t>
      </w:r>
    </w:p>
    <w:p w14:paraId="3D6EAE9F" w14:textId="77777777">
      <w:pPr>
        <w:pStyle w:val="Style2"/>
        <w:pBdr>
          <w:top w:val="threeDEngrave" w:sz="24" w:space="1" w:color="auto"/>
          <w:left w:val="threeDEngrave" w:sz="24" w:space="4" w:color="auto"/>
          <w:bottom w:val="threeDEmboss" w:sz="24" w:space="1" w:color="auto"/>
          <w:right w:val="threeDEmboss" w:sz="24" w:space="4" w:color="auto"/>
        </w:pBdr>
        <w:jc w:val="both"/>
        <w:rPr>
          <w:rFonts w:ascii="Times New Roman" w:hAnsi="Times New Roman" w:cs="Times New Roman"/>
        </w:rPr>
      </w:pPr>
    </w:p>
    <w:p w14:paraId="1DD9F908" w14:textId="77777777">
      <w:pPr>
        <w:pStyle w:val="Style2"/>
      </w:pPr>
    </w:p>
    <w:p w14:paraId="4E337CA6" w14:textId="77777777">
      <w:pPr>
        <w:pStyle w:val="Style2"/>
      </w:pPr>
    </w:p>
    <w:p w14:paraId="2841D6DB" w14:textId="3A34D713">
      <w:pPr>
        <w:pStyle w:val="Style2"/>
      </w:pPr>
    </w:p>
    <w:p w14:paraId="00DC4E47" w14:textId="77777777"/>
    <w:p w14:paraId="1EB3AE8B" w14:textId="77777777"/>
    <w:p w14:paraId="6E3BDF8A" w14:textId="77777777">
      <w:pPr>
        <w:jc w:val="center"/>
        <w:rPr>
          <w:b/>
          <w:bCs/>
          <w:u w:val="single"/>
        </w:rPr>
      </w:pPr>
      <w:r>
        <w:rPr>
          <w:b/>
          <w:u w:val="single"/>
        </w:rPr>
        <w:t>Règlement de la Consultation (R.C.)</w:t>
      </w:r>
    </w:p>
    <w:p w14:paraId="09FB9CB2" w14:textId="77777777"/>
    <w:p w14:paraId="14B71595" w14:textId="77777777"/>
    <w:p w14:paraId="4EC3C274" w14:textId="77777777"/>
    <w:p w14:paraId="4707C75D" w14:textId="77777777"/>
    <w:p w14:paraId="107811DB" w14:textId="77777777"/>
    <w:p w14:paraId="6951B494" w14:textId="77777777"/>
    <w:p w14:paraId="7E89908A" w14:textId="77777777"/>
    <w:p w14:paraId="7E7B0B38" w14:textId="77777777"/>
    <w:p w14:paraId="516A64BF" w14:textId="77777777"/>
    <w:p w14:paraId="79A7C189" w14:textId="77777777">
      <w:pPr>
        <w:spacing w:after="200" w:line="276" w:lineRule="auto"/>
        <w:jc w:val="left"/>
      </w:pPr>
      <w:r>
        <w:br w:type="page"/>
      </w:r>
      <w:bookmarkStart w:id="0" w:name="_GoBack"/>
      <w:bookmarkEnd w:id="0"/>
    </w:p>
    <w:p w14:paraId="33B88FEB" w14:textId="77777777">
      <w:pPr>
        <w:jc w:val="center"/>
        <w:rPr>
          <w:b/>
          <w:u w:val="single"/>
        </w:rPr>
      </w:pPr>
      <w:r>
        <w:rPr>
          <w:b/>
          <w:u w:val="single"/>
        </w:rPr>
        <w:t>SOMMAIRE</w:t>
      </w:r>
    </w:p>
    <w:p w14:paraId="4A75FA9E" w14:textId="77777777">
      <w:pPr>
        <w:jc w:val="center"/>
        <w:rPr>
          <w:b/>
          <w:u w:val="single"/>
        </w:rPr>
      </w:pPr>
    </w:p>
    <w:p>
      <w:pPr>
        <w:pStyle w:val="TM1"/>
        <w:tabs>
          <w:tab w:val="right" w:leader="hyphen" w:pos="9060"/>
        </w:tabs>
        <w:rPr>
          <w:rFonts w:ascii="Times New Roman" w:hAnsi="Times New Roman" w:cs="Times New Roman"/>
          <w:b w:val="0"/>
          <w:bCs w:val="0"/>
          <w:caps w:val="0"/>
          <w:noProof/>
          <w:kern w:val="2"/>
          <w:sz w:val="24"/>
          <w:szCs w:val="24"/>
          <w14:ligatures w14:val="standardContextual"/>
        </w:rPr>
      </w:pPr>
      <w:r>
        <w:rPr>
          <w:rFonts w:ascii="Times New Roman" w:hAnsi="Times New Roman" w:cs="Times New Roman"/>
          <w:b w:val="0"/>
          <w:bCs w:val="0"/>
          <w:caps w:val="0"/>
        </w:rPr>
        <w:fldChar w:fldCharType="begin"/>
      </w:r>
      <w:r>
        <w:rPr>
          <w:rFonts w:ascii="Times New Roman" w:hAnsi="Times New Roman" w:cs="Times New Roman"/>
          <w:b w:val="0"/>
          <w:bCs w:val="0"/>
          <w:caps w:val="0"/>
        </w:rPr>
        <w:instrText xml:space="preserve"> TOC \o "1-5" \h \z \u \n </w:instrText>
      </w:r>
      <w:r>
        <w:rPr>
          <w:rFonts w:ascii="Times New Roman" w:hAnsi="Times New Roman" w:cs="Times New Roman"/>
          <w:b w:val="0"/>
          <w:bCs w:val="0"/>
          <w:caps w:val="0"/>
        </w:rPr>
        <w:fldChar w:fldCharType="separate"/>
      </w:r>
      <w:hyperlink w:anchor="_Toc219905960" w:history="1">
        <w:r>
          <w:rPr>
            <w:rStyle w:val="Lienhypertexte"/>
            <w:noProof/>
          </w:rPr>
          <w:t xml:space="preserve">ARTICLE 1 – CONDITIONS DE LA CONSULTATION</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61" w:history="1">
        <w:r>
          <w:rPr>
            <w:rStyle w:val="Lienhypertexte"/>
            <w:noProof/>
          </w:rPr>
          <w:t xml:space="preserve">1.1. Objet de l’accord-cadre</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62" w:history="1">
        <w:r>
          <w:rPr>
            <w:rStyle w:val="Lienhypertexte"/>
            <w:noProof/>
          </w:rPr>
          <w:t xml:space="preserve">1.2. Procédure de passation de l’accord-cadre</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63" w:history="1">
        <w:r>
          <w:rPr>
            <w:rStyle w:val="Lienhypertexte"/>
            <w:noProof/>
          </w:rPr>
          <w:t xml:space="preserve">1.3. Allotissement</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64" w:history="1">
        <w:r>
          <w:rPr>
            <w:rStyle w:val="Lienhypertexte"/>
            <w:noProof/>
          </w:rPr>
          <w:t xml:space="preserve">1.4. Forme et montant de l’accord-cadre</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67" w:history="1">
        <w:r>
          <w:rPr>
            <w:rStyle w:val="Lienhypertexte"/>
            <w:noProof/>
          </w:rPr>
          <w:t xml:space="preserve">1.5. Lieu d’exécution des prestations</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68" w:history="1">
        <w:r>
          <w:rPr>
            <w:rStyle w:val="Lienhypertexte"/>
            <w:noProof/>
          </w:rPr>
          <w:t xml:space="preserve">1.6. Durée de l’accord-cadre</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69" w:history="1">
        <w:r>
          <w:rPr>
            <w:rStyle w:val="Lienhypertexte"/>
            <w:noProof/>
          </w:rPr>
          <w:t xml:space="preserve">1.7. Modalités de règlement de l’accord-cadre</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70" w:history="1">
        <w:r>
          <w:rPr>
            <w:rStyle w:val="Lienhypertexte"/>
            <w:noProof/>
          </w:rPr>
          <w:t xml:space="preserve">1.8. Durée de validité de l’offre</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71" w:history="1">
        <w:r>
          <w:rPr>
            <w:rStyle w:val="Lienhypertexte"/>
            <w:noProof/>
          </w:rPr>
          <w:t xml:space="preserve">1.9. Langue de l’accord-cadre</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72" w:history="1">
        <w:r>
          <w:rPr>
            <w:rStyle w:val="Lienhypertexte"/>
            <w:noProof/>
          </w:rPr>
          <w:t xml:space="preserve">1.10. Unité monétaire de l’accord-cadre</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73" w:history="1">
        <w:r>
          <w:rPr>
            <w:rStyle w:val="Lienhypertexte"/>
            <w:noProof/>
          </w:rPr>
          <w:t xml:space="preserve">1.11. Variantes et options</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74" w:history="1">
        <w:r>
          <w:rPr>
            <w:rStyle w:val="Lienhypertexte"/>
            <w:noProof/>
          </w:rPr>
          <w:t xml:space="preserve">1.12. Modalités de dévolution du présent accord-cadre</w:t>
        </w:r>
      </w:hyperlink>
    </w:p>
    <w:p>
      <w:pPr>
        <w:pStyle w:val="TM1"/>
        <w:tabs>
          <w:tab w:val="right" w:leader="hyphen" w:pos="9060"/>
        </w:tabs>
        <w:rPr>
          <w:rFonts w:ascii="Times New Roman" w:hAnsi="Times New Roman" w:cs="Times New Roman"/>
          <w:b w:val="0"/>
          <w:bCs w:val="0"/>
          <w:caps w:val="0"/>
          <w:noProof/>
          <w:kern w:val="2"/>
          <w:sz w:val="24"/>
          <w:szCs w:val="24"/>
          <w14:ligatures w14:val="standardContextual"/>
        </w:rPr>
      </w:pPr>
      <w:hyperlink w:anchor="_Toc219905975" w:history="1">
        <w:r>
          <w:rPr>
            <w:rStyle w:val="Lienhypertexte"/>
            <w:noProof/>
          </w:rPr>
          <w:t xml:space="preserve">ARTICLE 2 – CONTENU ET MODALITÉS D’OBTENTION DU DOSSIER DE CONSULTATION DES ENTREPRISES</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76" w:history="1">
        <w:r>
          <w:rPr>
            <w:rStyle w:val="Lienhypertexte"/>
            <w:noProof/>
          </w:rPr>
          <w:t xml:space="preserve">2.1. Contenu du dossier de la consultation</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77" w:history="1">
        <w:r>
          <w:rPr>
            <w:rStyle w:val="Lienhypertexte"/>
            <w:noProof/>
          </w:rPr>
          <w:t xml:space="preserve">2.2. Obtention du dossier de la consultation</w:t>
        </w:r>
      </w:hyperlink>
    </w:p>
    <w:p>
      <w:pPr>
        <w:pStyle w:val="TM1"/>
        <w:tabs>
          <w:tab w:val="right" w:leader="hyphen" w:pos="9060"/>
        </w:tabs>
        <w:rPr>
          <w:rFonts w:ascii="Times New Roman" w:hAnsi="Times New Roman" w:cs="Times New Roman"/>
          <w:b w:val="0"/>
          <w:bCs w:val="0"/>
          <w:caps w:val="0"/>
          <w:noProof/>
          <w:kern w:val="2"/>
          <w:sz w:val="24"/>
          <w:szCs w:val="24"/>
          <w14:ligatures w14:val="standardContextual"/>
        </w:rPr>
      </w:pPr>
      <w:hyperlink w:anchor="_Toc900000076" w:history="1">
        <w:r>
          <w:rPr>
            <w:rStyle w:val="Lienhypertexte"/>
            <w:noProof/>
          </w:rPr>
          <w:t xml:space="preserve">ARTICLE 3 – VISITE FACULTATIVE DES SITES</w:t>
        </w:r>
      </w:hyperlink>
    </w:p>
    <w:p>
      <w:pPr>
        <w:pStyle w:val="TM1"/>
        <w:tabs>
          <w:tab w:val="right" w:leader="hyphen" w:pos="9060"/>
        </w:tabs>
        <w:rPr>
          <w:rFonts w:ascii="Times New Roman" w:hAnsi="Times New Roman" w:cs="Times New Roman"/>
          <w:b w:val="0"/>
          <w:bCs w:val="0"/>
          <w:caps w:val="0"/>
          <w:noProof/>
          <w:kern w:val="2"/>
          <w:sz w:val="24"/>
          <w:szCs w:val="24"/>
          <w14:ligatures w14:val="standardContextual"/>
        </w:rPr>
      </w:pPr>
      <w:hyperlink w:anchor="_Toc219905978" w:history="1">
        <w:r>
          <w:rPr>
            <w:rStyle w:val="Lienhypertexte"/>
            <w:noProof/>
          </w:rPr>
          <w:t xml:space="preserve">ARTICLE 4 – CONTENU DES PLIS (CANDIDATURES ET OFFRES)</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79" w:history="1">
        <w:r>
          <w:rPr>
            <w:rStyle w:val="Lienhypertexte"/>
            <w:noProof/>
          </w:rPr>
          <w:t xml:space="preserve">4.1. Éléments de la candidature</w:t>
        </w:r>
      </w:hyperlink>
    </w:p>
    <w:p>
      <w:pPr>
        <w:pStyle w:val="TM3"/>
        <w:tabs>
          <w:tab w:val="right" w:leader="hyphen" w:pos="9060"/>
        </w:tabs>
        <w:rPr>
          <w:rFonts w:ascii="Times New Roman" w:hAnsi="Times New Roman" w:cs="Times New Roman"/>
          <w:i w:val="0"/>
          <w:iCs w:val="0"/>
          <w:noProof/>
          <w:kern w:val="2"/>
          <w:sz w:val="24"/>
          <w:szCs w:val="24"/>
          <w14:ligatures w14:val="standardContextual"/>
        </w:rPr>
      </w:pPr>
      <w:hyperlink w:anchor="_Toc219905980" w:history="1">
        <w:r>
          <w:rPr>
            <w:rStyle w:val="Lienhypertexte"/>
            <w:rFonts w:eastAsia="Times New Roman" w:ascii="Times New Roman" w:hAnsi="Times New Roman" w:cs="Times New Roman"/>
            <w:noProof/>
          </w:rPr>
          <w:t xml:space="preserve">4.1.1. Possibilité d’utiliser le Document Unique de Marché Européen</w:t>
        </w:r>
      </w:hyperlink>
    </w:p>
    <w:p>
      <w:pPr>
        <w:pStyle w:val="TM3"/>
        <w:tabs>
          <w:tab w:val="right" w:leader="hyphen" w:pos="9060"/>
        </w:tabs>
        <w:rPr>
          <w:rFonts w:ascii="Times New Roman" w:hAnsi="Times New Roman" w:cs="Times New Roman"/>
          <w:i w:val="0"/>
          <w:iCs w:val="0"/>
          <w:noProof/>
          <w:kern w:val="2"/>
          <w:sz w:val="24"/>
          <w:szCs w:val="24"/>
          <w14:ligatures w14:val="standardContextual"/>
        </w:rPr>
      </w:pPr>
      <w:hyperlink w:anchor="_Toc219905981" w:history="1">
        <w:r>
          <w:rPr>
            <w:rStyle w:val="Lienhypertexte"/>
            <w:rFonts w:eastAsia="Times New Roman" w:ascii="Times New Roman" w:hAnsi="Times New Roman" w:cs="Times New Roman"/>
            <w:noProof/>
          </w:rPr>
          <w:t xml:space="preserve">4.1.2. Candidats soumissionnant pour la première fois à un marché public pour la ville d’Aubervilliers</w:t>
        </w:r>
      </w:hyperlink>
    </w:p>
    <w:p>
      <w:pPr>
        <w:pStyle w:val="TM3"/>
        <w:tabs>
          <w:tab w:val="right" w:leader="hyphen" w:pos="9060"/>
        </w:tabs>
        <w:rPr>
          <w:rFonts w:ascii="Times New Roman" w:hAnsi="Times New Roman" w:cs="Times New Roman"/>
          <w:i w:val="0"/>
          <w:iCs w:val="0"/>
          <w:noProof/>
          <w:kern w:val="2"/>
          <w:sz w:val="24"/>
          <w:szCs w:val="24"/>
          <w14:ligatures w14:val="standardContextual"/>
        </w:rPr>
      </w:pPr>
      <w:hyperlink w:anchor="_Toc219905982" w:history="1">
        <w:r>
          <w:rPr>
            <w:rStyle w:val="Lienhypertexte"/>
            <w:rFonts w:eastAsia="Times New Roman" w:ascii="Times New Roman" w:hAnsi="Times New Roman" w:cs="Times New Roman"/>
            <w:noProof/>
          </w:rPr>
          <w:t xml:space="preserve">4.1.3. Candidats ayant déjà soumissionné à un marché public pour la ville d’Aubervilliers</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83" w:history="1">
        <w:r>
          <w:rPr>
            <w:rStyle w:val="Lienhypertexte"/>
            <w:noProof/>
          </w:rPr>
          <w:t xml:space="preserve">4.2. Éléments de l’offre</w:t>
        </w:r>
      </w:hyperlink>
    </w:p>
    <w:p>
      <w:pPr>
        <w:pStyle w:val="TM1"/>
        <w:tabs>
          <w:tab w:val="right" w:leader="hyphen" w:pos="9060"/>
        </w:tabs>
        <w:rPr>
          <w:rFonts w:ascii="Times New Roman" w:hAnsi="Times New Roman" w:cs="Times New Roman"/>
          <w:b w:val="0"/>
          <w:bCs w:val="0"/>
          <w:caps w:val="0"/>
          <w:noProof/>
          <w:kern w:val="2"/>
          <w:sz w:val="24"/>
          <w:szCs w:val="24"/>
          <w14:ligatures w14:val="standardContextual"/>
        </w:rPr>
      </w:pPr>
      <w:hyperlink w:anchor="_Toc219905984" w:history="1">
        <w:r>
          <w:rPr>
            <w:rStyle w:val="Lienhypertexte"/>
            <w:noProof/>
          </w:rPr>
          <w:t xml:space="preserve">ARTICLE 5 – CONDITIONS D’ENVOI ET DE REMISE DES OFFRES</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85" w:history="1">
        <w:r>
          <w:rPr>
            <w:rStyle w:val="Lienhypertexte"/>
            <w:noProof/>
          </w:rPr>
          <w:t xml:space="preserve">5.1. Généralités</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86" w:history="1">
        <w:r>
          <w:rPr>
            <w:rStyle w:val="Lienhypertexte"/>
            <w:noProof/>
          </w:rPr>
          <w:t xml:space="preserve">5.2. Dématérialisation de la procédure</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87" w:history="1">
        <w:r>
          <w:rPr>
            <w:rStyle w:val="Lienhypertexte"/>
            <w:noProof/>
          </w:rPr>
          <w:t xml:space="preserve">5.3. Formats et modalités de transmission des documents</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88" w:history="1">
        <w:r>
          <w:rPr>
            <w:rStyle w:val="Lienhypertexte"/>
            <w:noProof/>
          </w:rPr>
          <w:t xml:space="preserve">5.4. Copie de sauvegarde</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89" w:history="1">
        <w:r>
          <w:rPr>
            <w:rStyle w:val="Lienhypertexte"/>
            <w:noProof/>
          </w:rPr>
          <w:t xml:space="preserve">5.5. Signature électronique des documents</w:t>
        </w:r>
      </w:hyperlink>
    </w:p>
    <w:p>
      <w:pPr>
        <w:pStyle w:val="TM1"/>
        <w:tabs>
          <w:tab w:val="right" w:leader="hyphen" w:pos="9060"/>
        </w:tabs>
        <w:rPr>
          <w:rFonts w:ascii="Times New Roman" w:hAnsi="Times New Roman" w:cs="Times New Roman"/>
          <w:b w:val="0"/>
          <w:bCs w:val="0"/>
          <w:caps w:val="0"/>
          <w:noProof/>
          <w:kern w:val="2"/>
          <w:sz w:val="24"/>
          <w:szCs w:val="24"/>
          <w14:ligatures w14:val="standardContextual"/>
        </w:rPr>
      </w:pPr>
      <w:hyperlink w:anchor="_Toc219905990" w:history="1">
        <w:r>
          <w:rPr>
            <w:rStyle w:val="Lienhypertexte"/>
            <w:noProof/>
          </w:rPr>
          <w:t xml:space="preserve">ARTICLE 6 – RENSEIGNEMENTS COMPLÉMENTAIRES</w:t>
        </w:r>
      </w:hyperlink>
    </w:p>
    <w:p>
      <w:pPr>
        <w:pStyle w:val="TM1"/>
        <w:tabs>
          <w:tab w:val="right" w:leader="hyphen" w:pos="9060"/>
        </w:tabs>
        <w:rPr>
          <w:rFonts w:ascii="Times New Roman" w:hAnsi="Times New Roman" w:cs="Times New Roman"/>
          <w:b w:val="0"/>
          <w:bCs w:val="0"/>
          <w:caps w:val="0"/>
          <w:noProof/>
          <w:kern w:val="2"/>
          <w:sz w:val="24"/>
          <w:szCs w:val="24"/>
          <w14:ligatures w14:val="standardContextual"/>
        </w:rPr>
      </w:pPr>
      <w:hyperlink w:anchor="_Toc219905991" w:history="1">
        <w:r>
          <w:rPr>
            <w:rStyle w:val="Lienhypertexte"/>
            <w:noProof/>
          </w:rPr>
          <w:t xml:space="preserve">ARTICLE 7 – MODIFICATION DE DÉTAIL DU DOSSIER DE LA CONSULTATION</w:t>
        </w:r>
      </w:hyperlink>
    </w:p>
    <w:p>
      <w:pPr>
        <w:pStyle w:val="TM1"/>
        <w:tabs>
          <w:tab w:val="right" w:leader="hyphen" w:pos="9060"/>
        </w:tabs>
        <w:rPr>
          <w:rFonts w:ascii="Times New Roman" w:hAnsi="Times New Roman" w:cs="Times New Roman"/>
          <w:b w:val="0"/>
          <w:bCs w:val="0"/>
          <w:caps w:val="0"/>
          <w:noProof/>
          <w:kern w:val="2"/>
          <w:sz w:val="24"/>
          <w:szCs w:val="24"/>
          <w14:ligatures w14:val="standardContextual"/>
        </w:rPr>
      </w:pPr>
      <w:hyperlink w:anchor="_Toc219905992" w:history="1">
        <w:r>
          <w:rPr>
            <w:rStyle w:val="Lienhypertexte"/>
            <w:noProof/>
          </w:rPr>
          <w:t xml:space="preserve">ARTICLE 8 – ABANDON DE LA PROCÉDURE</w:t>
        </w:r>
      </w:hyperlink>
    </w:p>
    <w:p>
      <w:pPr>
        <w:pStyle w:val="TM1"/>
        <w:tabs>
          <w:tab w:val="right" w:leader="hyphen" w:pos="9060"/>
        </w:tabs>
        <w:rPr>
          <w:rFonts w:ascii="Times New Roman" w:hAnsi="Times New Roman" w:cs="Times New Roman"/>
          <w:b w:val="0"/>
          <w:bCs w:val="0"/>
          <w:caps w:val="0"/>
          <w:noProof/>
          <w:kern w:val="2"/>
          <w:sz w:val="24"/>
          <w:szCs w:val="24"/>
          <w14:ligatures w14:val="standardContextual"/>
        </w:rPr>
      </w:pPr>
      <w:hyperlink w:anchor="_Toc219905993" w:history="1">
        <w:r>
          <w:rPr>
            <w:rStyle w:val="Lienhypertexte"/>
            <w:noProof/>
          </w:rPr>
          <w:t xml:space="preserve">ARTICLE 9 – JUGEMENT DES CANDIDATURES ET DES OFFRES</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94" w:history="1">
        <w:r>
          <w:rPr>
            <w:rStyle w:val="Lienhypertexte"/>
            <w:noProof/>
          </w:rPr>
          <w:t xml:space="preserve">9.1. Recevabilité des candidatures</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95" w:history="1">
        <w:r>
          <w:rPr>
            <w:rStyle w:val="Lienhypertexte"/>
            <w:noProof/>
          </w:rPr>
          <w:t xml:space="preserve">9.2. Recevabilité des offres</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96" w:history="1">
        <w:r>
          <w:rPr>
            <w:rStyle w:val="Lienhypertexte"/>
            <w:noProof/>
          </w:rPr>
          <w:t xml:space="preserve">9.3. Jugement des offres</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97" w:history="1">
        <w:r>
          <w:rPr>
            <w:rStyle w:val="Lienhypertexte"/>
            <w:noProof/>
          </w:rPr>
          <w:t xml:space="preserve">9.4. Possibilité d’analyse des offres avant les candidatures</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5998" w:history="1">
        <w:r>
          <w:rPr>
            <w:rStyle w:val="Lienhypertexte"/>
            <w:noProof/>
          </w:rPr>
          <w:t xml:space="preserve">9.5. Absence de négociation</w:t>
        </w:r>
      </w:hyperlink>
    </w:p>
    <w:p>
      <w:pPr>
        <w:pStyle w:val="TM1"/>
        <w:tabs>
          <w:tab w:val="right" w:leader="hyphen" w:pos="9060"/>
        </w:tabs>
        <w:rPr>
          <w:rFonts w:ascii="Times New Roman" w:hAnsi="Times New Roman" w:cs="Times New Roman"/>
          <w:b w:val="0"/>
          <w:bCs w:val="0"/>
          <w:caps w:val="0"/>
          <w:noProof/>
          <w:kern w:val="2"/>
          <w:sz w:val="24"/>
          <w:szCs w:val="24"/>
          <w14:ligatures w14:val="standardContextual"/>
        </w:rPr>
      </w:pPr>
      <w:hyperlink w:anchor="_Toc219905999" w:history="1">
        <w:r>
          <w:rPr>
            <w:rStyle w:val="Lienhypertexte"/>
            <w:noProof/>
          </w:rPr>
          <w:t xml:space="preserve">ARTICLE 10 – RÉSULTATS DE LA CONSULTATION</w:t>
        </w:r>
      </w:hyperlink>
    </w:p>
    <w:p>
      <w:pPr>
        <w:pStyle w:val="TM1"/>
        <w:tabs>
          <w:tab w:val="right" w:leader="hyphen" w:pos="9060"/>
        </w:tabs>
        <w:rPr>
          <w:rFonts w:ascii="Times New Roman" w:hAnsi="Times New Roman" w:cs="Times New Roman"/>
          <w:b w:val="0"/>
          <w:bCs w:val="0"/>
          <w:caps w:val="0"/>
          <w:noProof/>
          <w:kern w:val="2"/>
          <w:sz w:val="24"/>
          <w:szCs w:val="24"/>
          <w14:ligatures w14:val="standardContextual"/>
        </w:rPr>
      </w:pPr>
      <w:hyperlink w:anchor="_Toc219906000" w:history="1">
        <w:r>
          <w:rPr>
            <w:rStyle w:val="Lienhypertexte"/>
            <w:noProof/>
          </w:rPr>
          <w:t xml:space="preserve">ARTICLE 11 – MISE AU POINT DE L’ACCORD-CADRE</w:t>
        </w:r>
      </w:hyperlink>
    </w:p>
    <w:p>
      <w:pPr>
        <w:pStyle w:val="TM1"/>
        <w:tabs>
          <w:tab w:val="right" w:leader="hyphen" w:pos="9060"/>
        </w:tabs>
        <w:rPr>
          <w:rFonts w:ascii="Times New Roman" w:hAnsi="Times New Roman" w:cs="Times New Roman"/>
          <w:b w:val="0"/>
          <w:bCs w:val="0"/>
          <w:caps w:val="0"/>
          <w:noProof/>
          <w:kern w:val="2"/>
          <w:sz w:val="24"/>
          <w:szCs w:val="24"/>
          <w14:ligatures w14:val="standardContextual"/>
        </w:rPr>
      </w:pPr>
      <w:hyperlink w:anchor="_Toc219906001" w:history="1">
        <w:r>
          <w:rPr>
            <w:rStyle w:val="Lienhypertexte"/>
            <w:noProof/>
          </w:rPr>
          <w:t xml:space="preserve">ARTICLE 12 – RÈGLEMENT DES DIFFÉRENDS</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6002" w:history="1">
        <w:r>
          <w:rPr>
            <w:rStyle w:val="Lienhypertexte"/>
            <w:noProof/>
          </w:rPr>
          <w:t xml:space="preserve">12.1. Règlement amiable des différends</w:t>
        </w:r>
      </w:hyperlink>
    </w:p>
    <w:p>
      <w:pPr>
        <w:pStyle w:val="TM2"/>
        <w:tabs>
          <w:tab w:val="right" w:leader="hyphen" w:pos="9060"/>
        </w:tabs>
        <w:rPr>
          <w:rFonts w:ascii="Times New Roman" w:hAnsi="Times New Roman" w:cs="Times New Roman"/>
          <w:smallCaps w:val="0"/>
          <w:noProof/>
          <w:kern w:val="2"/>
          <w:sz w:val="24"/>
          <w:szCs w:val="24"/>
          <w14:ligatures w14:val="standardContextual"/>
        </w:rPr>
      </w:pPr>
      <w:hyperlink w:anchor="_Toc219906003" w:history="1">
        <w:r>
          <w:rPr>
            <w:rStyle w:val="Lienhypertexte"/>
            <w:noProof/>
          </w:rPr>
          <w:t xml:space="preserve">12.2. Recours devant le juge administratif</w:t>
        </w:r>
      </w:hyperlink>
    </w:p>
    <w:p w14:paraId="109A311C" w14:textId="20579177">
      <w:pPr>
        <w:rPr>
          <w:rFonts w:eastAsia="Times New Roman" w:cs="Times New Roman" w:ascii="Times New Roman" w:hAnsi="Times New Roman"/>
          <w:noProof/>
          <w:sz w:val="28"/>
          <w:szCs w:val="28"/>
          <w:u w:val="single"/>
        </w:rPr>
      </w:pPr>
      <w:r>
        <w:rPr>
          <w:rFonts w:cs="Times New Roman" w:ascii="Times New Roman" w:hAnsi="Times New Roman"/>
          <w:b/>
          <w:bCs/>
          <w:caps/>
          <w:sz w:val="20"/>
          <w:szCs w:val="20"/>
        </w:rPr>
        <w:lastRenderedPageBreak/>
        <w:fldChar w:fldCharType="end"/>
      </w:r>
      <w:r>
        <w:rPr>
          <w:rFonts w:cs="Times New Roman" w:ascii="Times New Roman" w:hAnsi="Times New Roman"/>
        </w:rPr>
        <w:br w:type="page"/>
      </w:r>
    </w:p>
    <w:p w14:paraId="65CA5C28" w14:textId="77777777">
      <w:pPr>
        <w:pStyle w:val="Titre1"/>
        <w:keepNext/>
        <w:rPr/>
      </w:pPr>
      <w:bookmarkStart w:id="1" w:name="_Toc219905960"/>
      <w:r>
        <w:rPr/>
        <w:t xml:space="preserve">ARTICLE 1 – </w:t>
      </w:r>
      <w:r>
        <w:rPr>
          <w:vertAlign w:val="superscript"/>
        </w:rPr>
        <w:t/>
      </w:r>
      <w:r>
        <w:rPr/>
        <w:t xml:space="preserve">CONDITIONS DE LA CONSULTATION</w:t>
      </w:r>
      <w:bookmarkEnd w:id="1"/>
      <w:r>
        <w:rPr/>
        <w:t xml:space="preserve"> </w:t>
      </w:r>
    </w:p>
    <w:p w14:paraId="35DF9F02" w14:textId="005D1F82">
      <w:pPr>
        <w:pStyle w:val="Titre2"/>
        <w:keepNext/>
        <w:rPr/>
      </w:pPr>
      <w:bookmarkStart w:id="2" w:name="_Toc219905961"/>
      <w:r>
        <w:rPr/>
        <w:t>1.1. Objet de</w:t>
      </w:r>
      <w:r>
        <w:rPr/>
        <w:t xml:space="preserve"> l’accord-cadre</w:t>
      </w:r>
      <w:bookmarkEnd w:id="2"/>
    </w:p>
    <w:p w14:paraId="39D1CCC8" w14:textId="114472BF">
      <w:r>
        <w:t xml:space="preserve">Le présent </w:t>
      </w:r>
      <w:r>
        <w:t>accord-cadre</w:t>
      </w:r>
      <w:r>
        <w:t xml:space="preserve"> a pour objet </w:t>
      </w:r>
      <w:r>
        <w:t>des prestations de service de</w:t>
      </w:r>
      <w:r>
        <w:t xml:space="preserve"> </w:t>
      </w:r>
      <w:r>
        <w:t>maintenance préventive, corrective et curative</w:t>
      </w:r>
      <w:r>
        <w:t xml:space="preserve"> </w:t>
      </w:r>
      <w:r>
        <w:t xml:space="preserve">des </w:t>
      </w:r>
      <w:r>
        <w:t xml:space="preserve">systèmes de désenfumage </w:t>
      </w:r>
      <w:r>
        <w:t>dans les différents bâtiments et espaces appartenant à la ville d’Aubervilliers</w:t>
      </w:r>
      <w:r>
        <w:t xml:space="preserve"> et au Centre communal d’action social</w:t>
      </w:r>
      <w:r>
        <w:t>e</w:t>
      </w:r>
      <w:r>
        <w:t xml:space="preserve"> (CCAS)</w:t>
      </w:r>
      <w:r>
        <w:t>.</w:t>
      </w:r>
    </w:p>
    <w:p w14:paraId="39D1CCC8" w14:textId="114472BF">
      <w:r>
        <w:t/>
      </w:r>
    </w:p>
    <w:p w14:paraId="39D1CCC8" w14:textId="114472BF">
      <w:r>
        <w:t>L’accord-cadre comporte une condition d’exécution sociale : le titulaire réalise une action d’insertion de personnes éloignées de l’emploi, à raison de treize (13) heures par tranche de 10 000 € HT facturés, dans les conditions de l’article 3.6 du CCAP, avec l’accompagnement du facilitateur des clauses sociales de l’établissement public territorial Plaine Commune.</w:t>
      </w:r>
    </w:p>
    <w:p w14:paraId="1BFCB2A6" w14:textId="5A4533C9"/>
    <w:p w14:paraId="4FBF8BDF" w14:textId="43EA71ED">
      <w:r>
        <w:t xml:space="preserve">Dans le cadre du présent </w:t>
      </w:r>
      <w:r>
        <w:t>accord-cadre</w:t>
      </w:r>
      <w:r>
        <w:t>,</w:t>
      </w:r>
      <w:r>
        <w:t xml:space="preserve"> le titulaire s’engage</w:t>
      </w:r>
      <w:r>
        <w:t>,</w:t>
      </w:r>
      <w:r>
        <w:t xml:space="preserve"> entre autres</w:t>
      </w:r>
      <w:r>
        <w:t>,</w:t>
      </w:r>
      <w:r>
        <w:t xml:space="preserve"> à remédier à toute anomalie susceptible de nuire au </w:t>
      </w:r>
      <w:r>
        <w:t xml:space="preserve">bon fonctionnement des systèmes et/ou </w:t>
      </w:r>
      <w:r>
        <w:t>de procéder au remplacement en cas d’impossibilité de réparation du matériel</w:t>
      </w:r>
      <w:r>
        <w:t xml:space="preserve"> pour quelque cause que ce soit</w:t>
      </w:r>
      <w:r>
        <w:t>.</w:t>
      </w:r>
    </w:p>
    <w:p w14:paraId="0265CF52" w14:textId="77777777"/>
    <w:p w14:paraId="16CF2015" w14:textId="50281118">
      <w:r>
        <w:t>Si la ville d’Aubervilliers le juge nécessaire, l’installation de nouveaux appareils</w:t>
      </w:r>
      <w:r>
        <w:t>, matériel</w:t>
      </w:r>
      <w:r>
        <w:t>s</w:t>
      </w:r>
      <w:r>
        <w:t xml:space="preserve"> ou équipements peut être commandée auprès du titulaire</w:t>
      </w:r>
      <w:r>
        <w:t xml:space="preserve"/>
      </w:r>
      <w:r>
        <w:t xml:space="preserve"> ; </w:t>
      </w:r>
      <w:r>
        <w:t xml:space="preserve">le cas échéant, </w:t>
      </w:r>
      <w:r>
        <w:t>la proposition du titulaire</w:t>
      </w:r>
      <w:r>
        <w:t xml:space="preserve"> </w:t>
      </w:r>
      <w:r>
        <w:t>est réputée inclure</w:t>
      </w:r>
      <w:r>
        <w:t xml:space="preserve"> toutes les sujétions nécessaires à l’installation </w:t>
      </w:r>
      <w:r>
        <w:t>et au</w:t>
      </w:r>
      <w:r>
        <w:t xml:space="preserve"> fonctionnement</w:t>
      </w:r>
      <w:r>
        <w:t xml:space="preserve"> optimum</w:t>
      </w:r>
      <w:r>
        <w:t xml:space="preserve"> </w:t>
      </w:r>
      <w:r>
        <w:t>des nouveaux appareils.</w:t>
      </w:r>
    </w:p>
    <w:p w14:paraId="230E8E50" w14:textId="77777777"/>
    <w:p w14:paraId="714347F4" w14:textId="3EA5E7D8">
      <w:r>
        <w:t xml:space="preserve">Le candidat auquel sera attribué </w:t>
      </w:r>
      <w:r>
        <w:t>l’accord-cadre</w:t>
      </w:r>
      <w:r>
        <w:t xml:space="preserve"> </w:t>
      </w:r>
      <w:r>
        <w:t>est soumis à une obligation de résultat dans le cadre de l’e</w:t>
      </w:r>
      <w:r>
        <w:t xml:space="preserve">xécution de </w:t>
      </w:r>
      <w:r>
        <w:t>celui-ci</w:t>
      </w:r>
      <w:r>
        <w:t>.</w:t>
      </w:r>
    </w:p>
    <w:p w14:paraId="6365EE98" w14:textId="77777777"/>
    <w:p w14:paraId="0000D521" w14:textId="3F3F70BA">
      <w:r>
        <w:t xml:space="preserve">Le détail technique des prestations est précisé dans le CCTP du présent </w:t>
      </w:r>
      <w:r>
        <w:t>accord-cadre</w:t>
      </w:r>
      <w:r>
        <w:t>.</w:t>
      </w:r>
    </w:p>
    <w:p w14:paraId="587F2824" w14:textId="77777777"/>
    <w:p w14:paraId="1364B3E1" w14:textId="31B9FAAD">
      <w:pPr>
        <w:pStyle w:val="Titre2"/>
        <w:keepNext/>
        <w:rPr/>
      </w:pPr>
      <w:bookmarkStart w:id="3" w:name="_Toc219905962"/>
      <w:r>
        <w:rPr/>
        <w:t>1.2. Procédure de</w:t>
      </w:r>
      <w:r>
        <w:rPr/>
        <w:t xml:space="preserve"> passation </w:t>
      </w:r>
      <w:r>
        <w:rPr/>
        <w:t>de l’accord-cadre</w:t>
      </w:r>
      <w:bookmarkEnd w:id="3"/>
    </w:p>
    <w:p w14:paraId="19557DC1" w14:textId="104A706F">
      <w:r>
        <w:t>Le présent accord-cadre est passé selon la procédure d’appel d’offres ouvert, en application des articles L. 2124-1, L. 2124-2, R. 2124-2 1° et R. 2161-2 à R. 2161-5 du Code de la commande publique.</w:t>
      </w:r>
      <w:r>
        <w:t xml:space="preserve"/>
      </w:r>
      <w:r>
        <w:t/>
      </w:r>
      <w:r>
        <w:t xml:space="preserve"/>
      </w:r>
      <w:r>
        <w:t/>
      </w:r>
      <w:r>
        <w:t/>
      </w:r>
      <w:r>
        <w:t/>
      </w:r>
      <w:r>
        <w:t/>
      </w:r>
      <w:r>
        <w:t/>
      </w:r>
      <w:r>
        <w:t xml:space="preserve"/>
      </w:r>
      <w:r>
        <w:t xml:space="preserve"/>
      </w:r>
      <w:r>
        <w:t/>
      </w:r>
    </w:p>
    <w:p w14:paraId="4A6746EC" w14:textId="3F744625"/>
    <w:p w14:paraId="5F7E3883" w14:textId="7EA39A97">
      <w:pPr>
        <w:pStyle w:val="Titre2"/>
        <w:keepNext/>
        <w:rPr/>
      </w:pPr>
      <w:bookmarkStart w:id="4" w:name="_Toc219905963"/>
      <w:r>
        <w:rPr/>
        <w:t>1.3. Allotissement</w:t>
      </w:r>
      <w:bookmarkEnd w:id="4"/>
    </w:p>
    <w:p w14:paraId="7FA1065E" w14:textId="409B1DD7">
      <w:r>
        <w:t>Le présent accord-cadre n’est pas alloti. En application de l’article L. 2113-11 du Code de la commande publique, l’allotissement risque</w:t>
      </w:r>
      <w:r>
        <w:t xml:space="preserve"> de restreindre la concurrence ou risque de rendre techniquement difficile ou financièrement plus coûteuse l’exécution du présent </w:t>
      </w:r>
      <w:r>
        <w:t>accord-cadre</w:t>
      </w:r>
      <w:r>
        <w:t>, dès lors que les</w:t>
      </w:r>
      <w:r>
        <w:rPr>
          <w:spacing w:val="1"/>
        </w:rPr>
        <w:t xml:space="preserve"> </w:t>
      </w:r>
      <w:r>
        <w:t xml:space="preserve">opérateurs économiques fournissent l’ensemble des fournitures et prestations prévues dans le présent </w:t>
      </w:r>
      <w:r>
        <w:t>accord-cadre</w:t>
      </w:r>
      <w:r>
        <w:t>.</w:t>
      </w:r>
    </w:p>
    <w:p w14:paraId="2CC0E86A" w14:textId="77777777"/>
    <w:p w14:paraId="6EF8C5CE" w14:textId="4936132A">
      <w:pPr>
        <w:pStyle w:val="Titre2"/>
        <w:keepNext/>
        <w:rPr/>
      </w:pPr>
      <w:bookmarkStart w:id="5" w:name="_Toc119221745"/>
      <w:bookmarkStart w:id="6" w:name="_Toc123534289"/>
      <w:bookmarkStart w:id="7" w:name="_Toc219905964"/>
      <w:r>
        <w:rPr/>
        <w:t xml:space="preserve">1.4. Forme et montant </w:t>
      </w:r>
      <w:bookmarkEnd w:id="5"/>
      <w:bookmarkEnd w:id="6"/>
      <w:r>
        <w:rPr/>
        <w:t>de l’accord-cadre</w:t>
      </w:r>
      <w:bookmarkEnd w:id="7"/>
    </w:p>
    <w:p w14:paraId="5794D98D" w14:textId="44C14020">
      <w:r>
        <w:rPr>
          <w:rFonts w:cs="Times New Roman" w:ascii="Times New Roman" w:hAnsi="Times New Roman"/>
          <w:szCs w:val="24"/>
        </w:rPr>
        <w:t xml:space="preserve">Il s’agit d’un </w:t>
      </w:r>
      <w:r>
        <w:rPr>
          <w:rFonts w:cs="Times New Roman" w:ascii="Times New Roman" w:hAnsi="Times New Roman"/>
          <w:szCs w:val="24"/>
        </w:rPr>
        <w:t>accord-cadre</w:t>
      </w:r>
      <w:r>
        <w:rPr>
          <w:rFonts w:cs="Times New Roman" w:ascii="Times New Roman" w:hAnsi="Times New Roman"/>
          <w:szCs w:val="24"/>
        </w:rPr>
        <w:t xml:space="preserve"> à bons de commande</w:t>
      </w:r>
      <w:r>
        <w:t>, en appli</w:t>
      </w:r>
      <w:r>
        <w:t>cation des articles</w:t>
      </w:r>
      <w:r>
        <w:t xml:space="preserve"> </w:t>
      </w:r>
      <w:r>
        <w:t xml:space="preserve">L. 2125-1 1°, </w:t>
      </w:r>
      <w:r>
        <w:t xml:space="preserve">R. 2162-1 à R. 2162-6 du Code de la commande publique. </w:t>
      </w:r>
    </w:p>
    <w:p w14:paraId="3E1EF7F5" w14:textId="3A14D2DD">
      <w:pPr>
        <w:rPr/>
      </w:pPr>
    </w:p>
    <w:p w14:paraId="154C5F86" w14:textId="0BC4CD8A">
      <w:r>
        <w:t xml:space="preserve">C’est un </w:t>
      </w:r>
      <w:r>
        <w:t>accord-cadre</w:t>
      </w:r>
      <w:r>
        <w:t xml:space="preserve"> mono attributaire.</w:t>
      </w:r>
    </w:p>
    <w:p w14:paraId="4BEA2D5E" w14:textId="20CFD706">
      <w:pPr>
        <w:rPr/>
      </w:pPr>
    </w:p>
    <w:p w14:paraId="64CE74F6" w14:textId="521F3EE4">
      <w:r>
        <w:t>L’accord-cadre</w:t>
      </w:r>
      <w:r>
        <w:t xml:space="preserve"> est passé à prix mixtes</w:t>
      </w:r>
      <w:r>
        <w:t>, à savoir</w:t>
      </w:r>
      <w:r>
        <w:t xml:space="preserve"> : </w:t>
      </w:r>
    </w:p>
    <w:p w14:paraId="5F69F3C8" w14:textId="247236E0">
      <w:pPr>
        <w:overflowPunct w:val="0"/>
        <w:autoSpaceDE w:val="0"/>
        <w:autoSpaceDN w:val="0"/>
        <w:adjustRightInd w:val="0"/>
        <w:spacing w:before="100" w:beforeAutospacing="1" w:after="100" w:afterAutospacing="1"/>
        <w:ind w:left="360"/>
        <w:textAlignment w:val="baseline"/>
      </w:pPr>
      <w:r>
        <w:rPr>
          <w:b/>
        </w:rPr>
        <w:t>I) Une partie à prix forfaitaire</w:t>
      </w:r>
      <w:r>
        <w:t>, pour les prestations de maintenance préventive. Le nombre de passages nécessaires n’influence aucunement le montant forfaitaire annuel.</w:t>
      </w:r>
      <w:r>
        <w:rPr/>
        <w:t xml:space="preserve"> En fait de fournitures, le prix forfaitaire ne couvre que les consommables de la visite annuelle (cartouches d’essai, fusibles, joints et étiquettes).</w:t>
      </w:r>
    </w:p>
    <w:p w14:paraId="468A76A0" w14:textId="701DD476">
      <w:pPr>
        <w:overflowPunct w:val="0"/>
        <w:autoSpaceDE w:val="0"/>
        <w:autoSpaceDN w:val="0"/>
        <w:adjustRightInd w:val="0"/>
        <w:spacing w:before="100" w:beforeAutospacing="1" w:after="100" w:afterAutospacing="1"/>
        <w:textAlignment w:val="baseline"/>
      </w:pPr>
      <w:r>
        <w:t xml:space="preserve">     </w:t>
      </w:r>
      <w:r>
        <w:rPr>
          <w:b/>
        </w:rPr>
        <w:t>II) Une partie à prix unitaires</w:t>
      </w:r>
      <w:r>
        <w:t>, pour les prestations de remplacement et maintenance   curative et corrective du matérie</w:t>
      </w:r>
      <w:r>
        <w:t>l s</w:t>
      </w:r>
      <w:r>
        <w:t xml:space="preserve">ur la base </w:t>
      </w:r>
      <w:r>
        <w:t>du bordereau des prix unitaires</w:t>
      </w:r>
      <w:r>
        <w:t>.</w:t>
      </w:r>
      <w:r>
        <w:rPr/>
        <w:t xml:space="preserve"> Tout autre remplacement de pièce ou de composant est payé aux prix du bordereau des prix unitaires, sur bon de commande.</w:t>
      </w:r>
    </w:p>
    <w:p w14:paraId="48F5AE38" w14:textId="77777777">
      <w:pPr>
        <w:rPr>
          <w:szCs w:val="24"/>
        </w:rPr>
      </w:pPr>
      <w:r>
        <w:rPr>
          <w:szCs w:val="24"/>
        </w:rPr>
        <w:t>Les prestations de maintenance sont traitées à prix global et forfaitaire annuel tel qu’indiqué à la décomposition du prix global et forfaitaire.</w:t>
      </w:r>
    </w:p>
    <w:p w14:paraId="3AE25983" w14:textId="77777777"/>
    <w:p w14:paraId="142968DF" w14:textId="59D70188">
      <w:pPr>
        <w:rPr>
          <w:szCs w:val="24"/>
        </w:rPr>
      </w:pPr>
      <w:r>
        <w:t xml:space="preserve">Ce montant forfaitaire annuel restera le même à chaque période de reconduction tacite, sous réserve des éventuelles révisions de prix qui interviendraient à chaque date anniversaire de notification </w:t>
      </w:r>
      <w:r>
        <w:t>de l’accord-cadre</w:t>
      </w:r>
      <w:r>
        <w:t>.</w:t>
      </w:r>
    </w:p>
    <w:p w14:paraId="4C4E280E" w14:textId="77777777">
      <w:pPr>
        <w:rPr/>
      </w:pPr>
    </w:p>
    <w:p w14:paraId="451B38BC" w14:textId="548F07E7">
      <w:pPr>
        <w:rPr/>
      </w:pPr>
      <w:r>
        <w:t>Les bons de commande seront établis, signés et notifiés au titulaire</w:t>
      </w:r>
      <w:r>
        <w:t xml:space="preserve"> par les services habilités de la ville d’Aubervilliers, conformément aux dispositions des articles</w:t>
      </w:r>
      <w:r>
        <w:t xml:space="preserve"> </w:t>
      </w:r>
      <w:r>
        <w:t>R. 2162-13 et R. 2162-14 d</w:t>
      </w:r>
      <w:r>
        <w:t>u Code de la commande publique.</w:t>
      </w:r>
    </w:p>
    <w:p w14:paraId="405C701E" w14:textId="77777777">
      <w:pPr>
        <w:rPr>
          <w:noProof/>
        </w:rPr>
      </w:pPr>
    </w:p>
    <w:p w14:paraId="0B508E59" w14:textId="77777777">
      <w:pPr>
        <w:rPr>
          <w:rFonts w:hint="eastAsia" w:ascii="Times New Roman" w:hAnsi="Times New Roman" w:cs="Times New Roman"/>
          <w:color w:val="auto"/>
        </w:rPr>
      </w:pPr>
      <w:bookmarkStart w:id="8" w:name="_Toc219905965"/>
      <w:r>
        <w:rPr>
          <w:b/>
          <w:color w:val="auto"/>
        </w:rPr>
        <w:t>Maintenance corrective</w:t>
      </w:r>
      <w:bookmarkEnd w:id="8"/>
      <w:r>
        <w:rPr>
          <w:b/>
          <w:color w:val="auto"/>
        </w:rPr>
        <w:t xml:space="preserve"> </w:t>
      </w:r>
    </w:p>
    <w:p w14:paraId="2C71AB93" w14:textId="77777777">
      <w:pPr>
        <w:pStyle w:val="Texte"/>
        <w:tabs>
          <w:tab w:val="left" w:pos="0"/>
        </w:tabs>
        <w:jc w:val="both"/>
        <w:rPr>
          <w:rFonts w:ascii="Times New Roman" w:hAnsi="Times New Roman" w:cs="Times New Roman"/>
          <w:iCs/>
          <w:strike/>
          <w:sz w:val="24"/>
          <w:szCs w:val="24"/>
          <w14:shadow w14:blurRad="0" w14:dist="0" w14:dir="0" w14:sx="0" w14:sy="0" w14:kx="0" w14:ky="0" w14:algn="none">
            <w14:srgbClr w14:val="000000"/>
          </w14:shadow>
        </w:rPr>
      </w:pPr>
      <w:r>
        <w:rPr>
          <w:rFonts w:ascii="Times New Roman" w:hAnsi="Times New Roman" w:cs="Times New Roman"/>
          <w:iCs/>
          <w:sz w:val="24"/>
          <w:szCs w:val="24"/>
          <w14:shadow w14:blurRad="0" w14:dist="0" w14:dir="0" w14:sx="0" w14:sy="0" w14:kx="0" w14:ky="0" w14:algn="none">
            <w14:srgbClr w14:val="000000"/>
          </w14:shadow>
        </w:rPr>
        <w:t>Les prestations de remplacement et maintenance curative et corrective du matériel (travaux de modernisation, l’usure anormale et vandalisme) sont soumises aux prix unitaires qui seront appliqués aux quantités réellement commandées et exécutées, sur la base du bordereau des prix unitaires (BPU), annexe n° 2 de l’acte d’engagement.</w:t>
      </w:r>
    </w:p>
    <w:p w14:paraId="1FCFE592" w14:textId="77777777">
      <w:pPr>
        <w:pStyle w:val="Texte"/>
        <w:tabs>
          <w:tab w:val="left" w:pos="0"/>
        </w:tabs>
        <w:jc w:val="both"/>
        <w:rPr>
          <w:rFonts w:ascii="Times New Roman" w:hAnsi="Times New Roman" w:cs="Times New Roman"/>
          <w:iCs/>
          <w:sz w:val="24"/>
          <w:szCs w:val="24"/>
          <w14:shadow w14:blurRad="0" w14:dist="0" w14:dir="0" w14:sx="0" w14:sy="0" w14:kx="0" w14:ky="0" w14:algn="none">
            <w14:srgbClr w14:val="000000"/>
          </w14:shadow>
        </w:rPr>
      </w:pPr>
      <w:r>
        <w:rPr>
          <w:rFonts w:ascii="Times New Roman" w:hAnsi="Times New Roman" w:cs="Times New Roman"/>
          <w:iCs/>
          <w:sz w:val="24"/>
          <w:szCs w:val="24"/>
          <w14:shadow w14:blurRad="0" w14:dist="0" w14:dir="0" w14:sx="0" w14:sy="0" w14:kx="0" w14:ky="0" w14:algn="none">
            <w14:srgbClr w14:val="000000"/>
          </w14:shadow>
        </w:rPr>
        <w:t>Les prestations à prix unitaires feront l’objet de bons de commande dont les montants sont susceptibles de varier dans les seuils annuels suivants</w:t>
      </w:r>
      <w:r>
        <w:rPr>
          <w:rFonts w:ascii="Times New Roman" w:hAnsi="Times New Roman" w:cs="Times New Roman"/>
          <w:sz w:val="24"/>
          <w:szCs w:val="24"/>
          <w14:shadow w14:blurRad="0" w14:dist="0" w14:dir="0" w14:sx="0" w14:sy="0" w14:kx="0" w14:ky="0" w14:algn="none">
            <w14:srgbClr w14:val="000000"/>
          </w14:shadow>
        </w:rPr>
        <w:t>.</w:t>
      </w:r>
    </w:p>
    <w:p w14:paraId="05A6CA3D" w14:textId="77777777">
      <w:pPr>
        <w:pStyle w:val="Corpsdetexte"/>
        <w:numPr>
          <w:ilvl w:val="0"/>
          <w:numId w:val="43"/>
        </w:numPr>
        <w:overflowPunct w:val="0"/>
        <w:autoSpaceDE w:val="0"/>
        <w:autoSpaceDN w:val="0"/>
        <w:adjustRightInd w:val="0"/>
        <w:spacing w:after="0"/>
        <w:textAlignment w:val="baseline"/>
        <w:rPr>
          <w:iCs/>
          <w:szCs w:val="24"/>
        </w:rPr>
      </w:pPr>
      <w:r>
        <w:rPr>
          <w:b/>
          <w:iCs/>
          <w:szCs w:val="24"/>
        </w:rPr>
        <w:t>Montant minimum annuel</w:t>
      </w:r>
      <w:r>
        <w:rPr>
          <w:iCs/>
          <w:szCs w:val="24"/>
        </w:rPr>
        <w:t xml:space="preserve"> : SANS.</w:t>
      </w:r>
    </w:p>
    <w:p w14:paraId="6AA9427A" w14:textId="79197358">
      <w:pPr>
        <w:pStyle w:val="Corpsdetexte"/>
        <w:numPr>
          <w:ilvl w:val="0"/>
          <w:numId w:val="43"/>
        </w:numPr>
        <w:overflowPunct w:val="0"/>
        <w:autoSpaceDE w:val="0"/>
        <w:autoSpaceDN w:val="0"/>
        <w:adjustRightInd w:val="0"/>
        <w:spacing w:after="0"/>
        <w:textAlignment w:val="baseline"/>
        <w:rPr>
          <w:iCs/>
          <w:szCs w:val="24"/>
        </w:rPr>
      </w:pPr>
      <w:r>
        <w:rPr>
          <w:b/>
          <w:iCs/>
          <w:szCs w:val="24"/>
        </w:rPr>
        <w:t>Montant maximum annuel</w:t>
      </w:r>
      <w:r>
        <w:rPr>
          <w:iCs/>
          <w:szCs w:val="24"/>
        </w:rPr>
        <w:t xml:space="preserve"> : </w:t>
      </w:r>
      <w:r>
        <w:rPr>
          <w:b/>
          <w:iCs/>
          <w:szCs w:val="24"/>
        </w:rPr>
        <w:t>63</w:t>
      </w:r>
      <w:r>
        <w:rPr>
          <w:b/>
          <w:iCs/>
          <w:szCs w:val="24"/>
        </w:rPr>
        <w:t>.000,00 EUROS H.T/AN.</w:t>
      </w:r>
    </w:p>
    <w:p w14:paraId="0851F3F5" w14:textId="77777777">
      <w:pPr>
        <w:pStyle w:val="Corpsdetexte"/>
        <w:rPr>
          <w:szCs w:val="24"/>
        </w:rPr>
      </w:pPr>
      <w:r>
        <w:rPr>
          <w:szCs w:val="24"/>
        </w:rPr>
        <w:t>Sur la durée totale de l’accord-cadre, reconductions comprises, le montant maximum est fixé à 284 000 € HT, partie forfaitaire et partie à bons de commande comprises.</w:t>
      </w:r>
    </w:p>
    <w:p w14:paraId="7A68249F" w14:textId="77777777">
      <w:pPr>
        <w:pStyle w:val="Corpsdetexte"/>
        <w:overflowPunct w:val="0"/>
        <w:autoSpaceDE w:val="0"/>
        <w:autoSpaceDN w:val="0"/>
        <w:adjustRightInd w:val="0"/>
        <w:spacing w:after="0"/>
        <w:ind w:left="720"/>
        <w:textAlignment w:val="baseline"/>
        <w:rPr>
          <w:iCs/>
          <w:szCs w:val="24"/>
        </w:rPr>
      </w:pPr>
    </w:p>
    <w:p w14:paraId="0851F3F5" w14:textId="77777777">
      <w:pPr>
        <w:pStyle w:val="Corpsdetexte"/>
        <w:rPr>
          <w:szCs w:val="24"/>
        </w:rPr>
      </w:pPr>
      <w:r>
        <w:rPr>
          <w:szCs w:val="24"/>
        </w:rPr>
        <w:t xml:space="preserve">Les bons de commande seront établis à chaque survenance de besoin, </w:t>
      </w:r>
      <w:r>
        <w:rPr>
          <w:iCs/>
          <w:szCs w:val="24"/>
        </w:rPr>
        <w:t xml:space="preserve">conformément aux dispositions des articles R. 2162-1 à R. 2162-6, </w:t>
      </w:r>
      <w:r>
        <w:rPr>
          <w:szCs w:val="24"/>
        </w:rPr>
        <w:t>R. 2162-13 et R. 2162-14 du Code de la commande publique.</w:t>
      </w:r>
    </w:p>
    <w:p w14:paraId="4B08ABC9" w14:textId="77777777">
      <w:pPr>
        <w:rPr>
          <w:rFonts w:hint="eastAsia" w:ascii="Times New Roman" w:hAnsi="Times New Roman" w:cs="Times New Roman"/>
          <w:bCs/>
          <w:iCs/>
          <w:color w:val="auto"/>
        </w:rPr>
      </w:pPr>
      <w:bookmarkStart w:id="9" w:name="_Toc219905966"/>
      <w:r>
        <w:rPr>
          <w:color w:val="auto"/>
        </w:rPr>
        <w:t>Le montant maximum annuel fixé à l’accord-cadre ne donne aucun droit au titulaire et n’engage en rien les membres du groupement de commande.</w:t>
      </w:r>
      <w:bookmarkEnd w:id="9"/>
    </w:p>
    <w:p w14:paraId="7A386136" w14:textId="7D54742B">
      <w:pPr>
        <w:pStyle w:val="Titre2"/>
        <w:keepNext/>
        <w:rPr/>
      </w:pPr>
      <w:bookmarkStart w:id="10" w:name="_Toc219905967"/>
      <w:r>
        <w:rPr/>
        <w:t>1.5. Lieu d’exécution des prestations</w:t>
      </w:r>
      <w:bookmarkEnd w:id="10"/>
    </w:p>
    <w:p w14:paraId="1D58EFF6" w14:textId="77777777">
      <w:pPr>
        <w:rPr>
          <w:rFonts w:cs="Times New Roman" w:ascii="Times New Roman" w:hAnsi="Times New Roman"/>
        </w:rPr>
      </w:pPr>
      <w:r>
        <w:rPr>
          <w:rFonts w:cs="Times New Roman" w:ascii="Times New Roman" w:hAnsi="Times New Roman"/>
        </w:rPr>
        <w:t>Les prestations seront exécutées dans les bâtiments appartenant à la ville d’Aubervilliers et au CCAS, qui sont situés sur le territoire de la commune d’Aubervilliers, à l’exception du centre de loisirs de Piscop, situé 15, rue de Paris, 95350 Piscop (Val-d’Oise), et du centre de loisirs d’Asnières-sur-Oise (Val-d’Oise).</w:t>
      </w:r>
    </w:p>
    <w:p w14:paraId="77FA7081" w14:textId="77777777">
      <w:pPr>
        <w:rPr>
          <w:rFonts w:cs="Times New Roman" w:ascii="Times New Roman" w:hAnsi="Times New Roman"/>
        </w:rPr>
      </w:pPr>
    </w:p>
    <w:p w14:paraId="6B193F0D" w14:textId="29151959">
      <w:pPr>
        <w:pStyle w:val="Textebrut"/>
        <w:ind w:right="-321"/>
        <w:rPr>
          <w:rFonts w:ascii="Times New Roman" w:hAnsi="Times New Roman" w:cs="Times New Roman"/>
          <w:szCs w:val="24"/>
        </w:rPr>
      </w:pPr>
      <w:r>
        <w:rPr>
          <w:rFonts w:ascii="Times New Roman" w:hAnsi="Times New Roman" w:cs="Times New Roman"/>
        </w:rPr>
        <w:t>Des sites ou des équipements de désenfumage ne peuvent être ajoutés ou retirés en cours d’exécution que dans les cas et conditions de la clause de réexamen de l’article 10.1 du cahier des clauses administratives particulières.</w:t>
      </w:r>
    </w:p>
    <w:p w14:paraId="7D9918E6" w14:textId="5554EEF8">
      <w:pPr>
        <w:pStyle w:val="Textebrut"/>
        <w:ind w:right="-321"/>
        <w:rPr>
          <w:rFonts w:ascii="Times New Roman" w:hAnsi="Times New Roman" w:cs="Times New Roman"/>
          <w:szCs w:val="24"/>
        </w:rPr>
      </w:pPr>
      <w:r>
        <w:rPr>
          <w:rFonts w:ascii="Times New Roman" w:hAnsi="Times New Roman" w:cs="Times New Roman"/>
          <w:szCs w:val="24"/>
        </w:rPr>
        <w:t>La</w:t>
      </w:r>
      <w:r>
        <w:rPr>
          <w:rFonts w:ascii="Times New Roman" w:hAnsi="Times New Roman" w:cs="Times New Roman"/>
          <w:szCs w:val="24"/>
        </w:rPr>
        <w:t xml:space="preserve"> liste non exhaustive des immeubles où seront exécutées les interventions prévues dans le cadre du présent </w:t>
      </w:r>
      <w:r>
        <w:rPr>
          <w:rFonts w:ascii="Times New Roman" w:hAnsi="Times New Roman" w:cs="Times New Roman"/>
          <w:szCs w:val="24"/>
        </w:rPr>
        <w:t>accord-cadre</w:t>
      </w:r>
      <w:r>
        <w:rPr>
          <w:rFonts w:ascii="Times New Roman" w:hAnsi="Times New Roman" w:cs="Times New Roman"/>
          <w:szCs w:val="24"/>
        </w:rPr>
        <w:t xml:space="preserve"> est annexée à l’acte d’engagement du présent </w:t>
      </w:r>
      <w:r>
        <w:rPr>
          <w:rFonts w:ascii="Times New Roman" w:hAnsi="Times New Roman" w:cs="Times New Roman"/>
          <w:szCs w:val="24"/>
        </w:rPr>
        <w:t>accord-cadre</w:t>
      </w:r>
      <w:r>
        <w:rPr>
          <w:rFonts w:ascii="Times New Roman" w:hAnsi="Times New Roman" w:cs="Times New Roman"/>
          <w:szCs w:val="24"/>
        </w:rPr>
        <w:t>.</w:t>
      </w:r>
    </w:p>
    <w:p w14:paraId="4FA56F09" w14:textId="3D060384">
      <w:pPr>
        <w:pStyle w:val="Textebrut"/>
        <w:ind w:right="-321"/>
        <w:rPr>
          <w:rFonts w:ascii="Times New Roman" w:hAnsi="Times New Roman" w:cs="Times New Roman"/>
          <w:szCs w:val="24"/>
        </w:rPr>
      </w:pPr>
    </w:p>
    <w:p w14:paraId="61505CDE" w14:textId="77777777">
      <w:pPr>
        <w:pStyle w:val="Textebrut"/>
        <w:ind w:right="-321"/>
        <w:rPr>
          <w:rFonts w:ascii="Times New Roman" w:hAnsi="Times New Roman" w:cs="Times New Roman"/>
          <w:szCs w:val="24"/>
        </w:rPr>
      </w:pPr>
      <w:r>
        <w:rPr>
          <w:rFonts w:ascii="Times New Roman" w:hAnsi="Times New Roman" w:cs="Times New Roman"/>
          <w:szCs w:val="24"/>
        </w:rPr>
        <w:t>En tout état de cause, le lieu d’intervention est précisé dans chaque bon de commande.</w:t>
      </w:r>
    </w:p>
    <w:p w14:paraId="3AC685A9" w14:textId="69E79583">
      <w:pPr>
        <w:pStyle w:val="Titre2"/>
        <w:keepNext/>
        <w:rPr/>
      </w:pPr>
      <w:bookmarkStart w:id="11" w:name="_Toc219905968"/>
      <w:r>
        <w:rPr/>
        <w:t xml:space="preserve">1.6. Durée </w:t>
      </w:r>
      <w:r>
        <w:rPr/>
        <w:t>de l’accord-cadre</w:t>
      </w:r>
      <w:bookmarkEnd w:id="11"/>
    </w:p>
    <w:p w14:paraId="158EC001" w14:textId="3179F1BC">
      <w:r>
        <w:t xml:space="preserve">Le présent </w:t>
      </w:r>
      <w:r>
        <w:t>accord-cadre</w:t>
      </w:r>
      <w:r>
        <w:t xml:space="preserve"> prend effet </w:t>
      </w:r>
      <w:r>
        <w:t>à compter de sa notification au t</w:t>
      </w:r>
      <w:r>
        <w:t xml:space="preserve">itulaire </w:t>
      </w:r>
      <w:r>
        <w:t xml:space="preserve">pour une durée d’un an. Il </w:t>
      </w:r>
      <w:r>
        <w:t>est e</w:t>
      </w:r>
      <w:r>
        <w:t>nsuite reconduit</w:t>
      </w:r>
      <w:r>
        <w:t xml:space="preserve"> tacite</w:t>
      </w:r>
      <w:r>
        <w:t>ment</w:t>
      </w:r>
      <w:r>
        <w:t>, par périodes successives d’un an, trois fois au maximum, sans que sa durée globale ne puisse dépasser quatre (4) ans.</w:t>
      </w:r>
      <w:r>
        <w:t/>
      </w:r>
      <w:r>
        <w:t xml:space="preserve"/>
      </w:r>
      <w:r>
        <w:t/>
      </w:r>
      <w:r>
        <w:t xml:space="preserve"/>
      </w:r>
      <w:r>
        <w:t/>
      </w:r>
      <w:r>
        <w:t/>
      </w:r>
      <w:r>
        <w:t xml:space="preserve"/>
      </w:r>
    </w:p>
    <w:p w14:paraId="68C8946E" w14:textId="3A864C9A"/>
    <w:p w14:paraId="18764506" w14:textId="3451C650">
      <w:r>
        <w:t xml:space="preserve">En cas de non-reconduction </w:t>
      </w:r>
      <w:r>
        <w:t>de l’accord-cadre</w:t>
      </w:r>
      <w:r>
        <w:t>, le titulaire</w:t>
      </w:r>
      <w:r>
        <w:t xml:space="preserve"> sera in</w:t>
      </w:r>
      <w:r>
        <w:t>formé dans un délai d</w:t>
      </w:r>
      <w:r>
        <w:t>’</w:t>
      </w:r>
      <w:r>
        <w:t>un (1</w:t>
      </w:r>
      <w:r>
        <w:t>) mois</w:t>
      </w:r>
      <w:r>
        <w:t xml:space="preserve"> au plus tard avant la </w:t>
      </w:r>
      <w:r>
        <w:t xml:space="preserve">fin de la période d’un an au cours de laquelle cette décision intervient. </w:t>
      </w:r>
      <w:r>
        <w:t>Aucune indemnité n’est accordée au titulaire de ce fait.</w:t>
      </w:r>
      <w:r>
        <w:t xml:space="preserve"> En ce cas, l’exécution des bons de commandes noti</w:t>
      </w:r>
      <w:r>
        <w:t>fiés au titulaire se poursuivra jusqu’à son terme.</w:t>
      </w:r>
    </w:p>
    <w:p w14:paraId="19642EF8" w14:textId="50308587">
      <w:pPr>
        <w:pStyle w:val="Titre2"/>
        <w:keepNext/>
        <w:rPr/>
      </w:pPr>
      <w:bookmarkStart w:id="12" w:name="_Toc219905969"/>
      <w:r>
        <w:rPr/>
        <w:t xml:space="preserve">1.7. Modalités de règlement </w:t>
      </w:r>
      <w:r>
        <w:rPr/>
        <w:t>de l’accord-cadre</w:t>
      </w:r>
      <w:bookmarkEnd w:id="12"/>
    </w:p>
    <w:p w14:paraId="6023419B" w14:textId="77777777">
      <w:pPr>
        <w:rPr>
          <w:b/>
        </w:rPr>
      </w:pPr>
      <w:r>
        <w:t>Le financement sera fait à partir des fonds de chacun des membres du groupement de commande, susmentionnés.</w:t>
      </w:r>
    </w:p>
    <w:p w14:paraId="4398B6D8" w14:textId="77777777"/>
    <w:p w14:paraId="54AB46A6" w14:textId="77777777">
      <w:r>
        <w:t>Le mode de règlement, après service fait, est le mandat administratif suivi d’un virement bancaire, conformément aux règles de la comptabilité publique.</w:t>
      </w:r>
    </w:p>
    <w:p w14:paraId="49C22166" w14:textId="77777777">
      <w:pPr>
        <w:rPr>
          <w:noProof/>
        </w:rPr>
      </w:pPr>
    </w:p>
    <w:p w14:paraId="378830C1" w14:textId="77777777">
      <w:pPr>
        <w:rPr>
          <w:noProof/>
        </w:rPr>
      </w:pPr>
      <w:r>
        <w:rPr>
          <w:noProof/>
        </w:rPr>
        <w:t>Chaque membre du groupement s’engage à assurer une bonne exécution des commandes le concernant.</w:t>
      </w:r>
    </w:p>
    <w:p w14:paraId="6E78F510" w14:textId="35F7F697">
      <w:pPr>
        <w:pStyle w:val="Titre2"/>
        <w:keepNext/>
        <w:rPr/>
      </w:pPr>
      <w:bookmarkStart w:id="13" w:name="_Toc108008336"/>
      <w:bookmarkStart w:id="14" w:name="_Toc219905970"/>
      <w:r>
        <w:rPr/>
        <w:t>1.</w:t>
      </w:r>
      <w:r>
        <w:rPr/>
        <w:t>8</w:t>
      </w:r>
      <w:r>
        <w:rPr/>
        <w:t>. Durée de validité de l’offre</w:t>
      </w:r>
      <w:bookmarkEnd w:id="13"/>
      <w:bookmarkEnd w:id="14"/>
      <w:r>
        <w:rPr/>
        <w:t xml:space="preserve"> </w:t>
      </w:r>
    </w:p>
    <w:p w14:paraId="315E5F39" w14:textId="2BBC284B">
      <w:pPr>
        <w:rPr>
          <w:noProof/>
        </w:rPr>
      </w:pPr>
      <w:r>
        <w:rPr>
          <w:noProof/>
        </w:rPr>
        <w:t xml:space="preserve">La durée de validité de l’offre du candidat est fixée à </w:t>
      </w:r>
      <w:r>
        <w:rPr>
          <w:b/>
          <w:noProof/>
          <w:u w:val="single"/>
        </w:rPr>
        <w:t xml:space="preserve">CENT QUATRE-VINGTS (180)</w:t>
      </w:r>
      <w:r>
        <w:rPr>
          <w:b/>
          <w:noProof/>
          <w:u w:val="single"/>
        </w:rPr>
        <w:t/>
      </w:r>
      <w:r>
        <w:rPr>
          <w:b/>
          <w:noProof/>
          <w:u w:val="single"/>
        </w:rPr>
        <w:t xml:space="preserve"> JOURS,</w:t>
      </w:r>
      <w:r>
        <w:rPr>
          <w:noProof/>
        </w:rPr>
        <w:t xml:space="preserve"> à compter de la date limite de remise des candidatures et des offres.</w:t>
      </w:r>
    </w:p>
    <w:p w14:paraId="6E653E41" w14:textId="78BD1A60">
      <w:pPr>
        <w:pStyle w:val="Titre2"/>
        <w:keepNext/>
        <w:rPr/>
      </w:pPr>
      <w:bookmarkStart w:id="15" w:name="_Toc108008337"/>
      <w:bookmarkStart w:id="16" w:name="_Toc130036855"/>
      <w:bookmarkStart w:id="17" w:name="_Toc219905971"/>
      <w:r>
        <w:rPr/>
        <w:t>1.9</w:t>
      </w:r>
      <w:r>
        <w:rPr/>
        <w:t xml:space="preserve">. Langue </w:t>
      </w:r>
      <w:bookmarkEnd w:id="15"/>
      <w:r>
        <w:rPr/>
        <w:t>de l’accord-cadre</w:t>
      </w:r>
      <w:bookmarkEnd w:id="16"/>
      <w:bookmarkEnd w:id="17"/>
    </w:p>
    <w:p w14:paraId="3D12337B" w14:textId="3C5AD07A">
      <w:pPr>
        <w:rPr>
          <w:noProof/>
        </w:rPr>
      </w:pPr>
      <w:r>
        <w:rPr>
          <w:noProof/>
        </w:rPr>
        <w:t xml:space="preserve">Les pièces remises à l’appui des candidatures et des offres, ainsi que toute correspondance ou autres documents relatifs au présent </w:t>
      </w:r>
      <w:r>
        <w:rPr>
          <w:noProof/>
        </w:rPr>
        <w:t>accord-cadre</w:t>
      </w:r>
      <w:r>
        <w:rPr>
          <w:noProof/>
        </w:rPr>
        <w:t xml:space="preserve"> devront être rédigés, à peine de nullité, en </w:t>
      </w:r>
      <w:r>
        <w:rPr>
          <w:b/>
          <w:bCs/>
          <w:noProof/>
          <w:u w:val="single"/>
        </w:rPr>
        <w:t>langue française</w:t>
      </w:r>
      <w:r>
        <w:rPr>
          <w:b/>
          <w:noProof/>
        </w:rPr>
        <w:t xml:space="preserve"> </w:t>
      </w:r>
      <w:r>
        <w:rPr>
          <w:noProof/>
        </w:rPr>
        <w:t>exclusivement.</w:t>
      </w:r>
      <w:bookmarkStart w:id="18" w:name="_Toc108008338"/>
      <w:r>
        <w:rPr>
          <w:noProof/>
        </w:rPr>
        <w:t xml:space="preserve"> Les documents ré</w:t>
      </w:r>
      <w:r>
        <w:rPr>
          <w:noProof/>
        </w:rPr>
        <w:t>digés dans une autre langue que le français doivent être accompagnés d’une traduction</w:t>
      </w:r>
      <w:r>
        <w:rPr>
          <w:noProof/>
        </w:rPr>
        <w:t/>
      </w:r>
      <w:r>
        <w:rPr>
          <w:noProof/>
        </w:rPr>
        <w:t xml:space="preserve"/>
      </w:r>
      <w:r>
        <w:rPr>
          <w:noProof/>
        </w:rPr>
        <w:t/>
      </w:r>
      <w:r>
        <w:rPr>
          <w:noProof/>
        </w:rPr>
        <w:t/>
      </w:r>
      <w:r>
        <w:rPr>
          <w:noProof/>
        </w:rPr>
        <w:t xml:space="preserve"> faite par un traducteur officiel assermenté.</w:t>
      </w:r>
    </w:p>
    <w:p w14:paraId="0B38CCAE" w14:textId="2F45C74F">
      <w:pPr>
        <w:pStyle w:val="Titre2"/>
        <w:keepNext/>
        <w:rPr/>
      </w:pPr>
      <w:bookmarkStart w:id="19" w:name="_Toc219905972"/>
      <w:r>
        <w:rPr/>
        <w:t>1.1</w:t>
      </w:r>
      <w:r>
        <w:rPr/>
        <w:t>0</w:t>
      </w:r>
      <w:r>
        <w:rPr/>
        <w:t xml:space="preserve">. Unité monétaire </w:t>
      </w:r>
      <w:bookmarkEnd w:id="18"/>
      <w:r>
        <w:rPr/>
        <w:t>de l’accord-cadre</w:t>
      </w:r>
      <w:bookmarkEnd w:id="19"/>
    </w:p>
    <w:p w14:paraId="2E7BAD17" w14:textId="3483EC4E">
      <w:pPr>
        <w:rPr>
          <w:noProof/>
        </w:rPr>
      </w:pPr>
      <w:r>
        <w:rPr>
          <w:noProof/>
        </w:rPr>
        <w:t xml:space="preserve">L’unité de compte dans laquelle devra être exécuté </w:t>
      </w:r>
      <w:r>
        <w:rPr>
          <w:noProof/>
        </w:rPr>
        <w:t>l’accord-cadre</w:t>
      </w:r>
      <w:r>
        <w:rPr>
          <w:noProof/>
        </w:rPr>
        <w:t xml:space="preserve"> est </w:t>
      </w:r>
      <w:r>
        <w:rPr>
          <w:b/>
          <w:noProof/>
        </w:rPr>
        <w:t>l’Euro</w:t>
      </w:r>
      <w:r>
        <w:rPr>
          <w:noProof/>
        </w:rPr>
        <w:t>.</w:t>
      </w:r>
      <w:bookmarkStart w:id="20" w:name="_Toc130036857"/>
      <w:bookmarkStart w:id="21" w:name="_Toc108008339"/>
    </w:p>
    <w:p w14:paraId="37395009" w14:textId="0BBF9D79">
      <w:pPr>
        <w:pStyle w:val="Titre2"/>
        <w:keepNext/>
        <w:rPr/>
      </w:pPr>
      <w:bookmarkStart w:id="22" w:name="_Toc130036859"/>
      <w:bookmarkStart w:id="23" w:name="_Toc219905973"/>
      <w:bookmarkEnd w:id="20"/>
      <w:bookmarkEnd w:id="21"/>
      <w:r>
        <w:rPr/>
        <w:t>1.</w:t>
      </w:r>
      <w:r>
        <w:rPr/>
        <w:t>1</w:t>
      </w:r>
      <w:r>
        <w:rPr/>
        <w:t>1</w:t>
      </w:r>
      <w:r>
        <w:rPr/>
        <w:t>. Variantes</w:t>
      </w:r>
      <w:bookmarkEnd w:id="22"/>
      <w:r>
        <w:rPr/>
        <w:t xml:space="preserve"> </w:t>
      </w:r>
      <w:r>
        <w:rPr/>
        <w:t>et options</w:t>
      </w:r>
      <w:bookmarkEnd w:id="23"/>
    </w:p>
    <w:p w14:paraId="2CC03F70" w14:textId="573BAD73">
      <w:pPr>
        <w:rPr>
          <w:noProof/>
        </w:rPr>
      </w:pPr>
      <w:r>
        <w:rPr>
          <w:noProof/>
        </w:rPr>
        <w:t>Les variantes ne sont pas autorisées.</w:t>
      </w:r>
    </w:p>
    <w:p w14:paraId="27552157" w14:textId="77777777">
      <w:pPr>
        <w:rPr>
          <w:noProof/>
        </w:rPr>
      </w:pPr>
    </w:p>
    <w:p w14:paraId="2779F8CF" w14:textId="6D23E1B9">
      <w:pPr>
        <w:rPr>
          <w:noProof/>
        </w:rPr>
      </w:pPr>
      <w:r>
        <w:rPr>
          <w:noProof/>
        </w:rPr>
        <w:t>Il n’est pas prévu d’options.</w:t>
      </w:r>
    </w:p>
    <w:p w14:paraId="22D5D514" w14:textId="504104F8">
      <w:pPr>
        <w:rPr>
          <w:noProof/>
        </w:rPr>
      </w:pPr>
    </w:p>
    <w:p w14:paraId="696887D1" w14:textId="77777777">
      <w:pPr>
        <w:rPr>
          <w:noProof/>
        </w:rPr>
      </w:pPr>
    </w:p>
    <w:p w14:paraId="6CBEA537" w14:textId="324EABF3">
      <w:pPr>
        <w:pStyle w:val="Titre2"/>
        <w:keepNext/>
        <w:rPr/>
      </w:pPr>
      <w:bookmarkStart w:id="24" w:name="_Toc130036861"/>
      <w:bookmarkStart w:id="25" w:name="_Toc219905974"/>
      <w:r>
        <w:rPr/>
        <w:t>1.</w:t>
      </w:r>
      <w:r>
        <w:rPr/>
        <w:t/>
      </w:r>
      <w:r>
        <w:rPr/>
        <w:t>1</w:t>
      </w:r>
      <w:r>
        <w:rPr/>
        <w:t xml:space="preserve">2. Modalités de dévolution du présent </w:t>
      </w:r>
      <w:bookmarkEnd w:id="24"/>
      <w:r>
        <w:rPr/>
        <w:t>accord-cadre</w:t>
      </w:r>
      <w:bookmarkEnd w:id="25"/>
    </w:p>
    <w:p w14:paraId="68D51136" w14:textId="43D5ABA5">
      <w:r>
        <w:t>L’accord-cadre</w:t>
      </w:r>
      <w:r>
        <w:t xml:space="preserve"> sera attribué, soit à un seul opérateur économique, soit à un groupement d’opérateurs économiques. Il est</w:t>
      </w:r>
      <w:r>
        <w:t>,</w:t>
      </w:r>
      <w:r>
        <w:t xml:space="preserve"> </w:t>
      </w:r>
      <w:r>
        <w:t xml:space="preserve">en tout état de cause, </w:t>
      </w:r>
      <w:r>
        <w:t>mono attributaire.</w:t>
      </w:r>
    </w:p>
    <w:p w14:paraId="5102238D" w14:textId="77777777"/>
    <w:p w14:paraId="5A1AB761" w14:textId="27F69EA6">
      <w:r>
        <w:t xml:space="preserve">Un même opérateur économique ne peut pas être mandataire de plus d'un groupement pour un même </w:t>
      </w:r>
      <w:r>
        <w:t>accord-cadre</w:t>
      </w:r>
      <w:r>
        <w:t>.</w:t>
      </w:r>
    </w:p>
    <w:p w14:paraId="4DF9F84D" w14:textId="77777777"/>
    <w:p w14:paraId="09B789AD" w14:textId="77777777">
      <w:r>
        <w:t>En application de l'article R. 2142-21 du Code de la commande publique, la personne publique interdit aux candidats de présenter leurs offres en agissant à la fois :</w:t>
      </w:r>
    </w:p>
    <w:p w14:paraId="6129744F" w14:textId="77777777"/>
    <w:p w14:paraId="0E5FD8F6" w14:textId="77777777">
      <w:pPr>
        <w:pStyle w:val="Paragraphedeliste"/>
        <w:numPr>
          <w:ilvl w:val="0"/>
          <w:numId w:val="19"/>
        </w:numPr>
      </w:pPr>
      <w:r>
        <w:t xml:space="preserve">en qualité de candidats individuels et de membres d'un ou plusieurs groupements ; </w:t>
      </w:r>
    </w:p>
    <w:p w14:paraId="0E131C2E" w14:textId="77777777">
      <w:pPr>
        <w:pStyle w:val="Paragraphedeliste"/>
        <w:numPr>
          <w:ilvl w:val="0"/>
          <w:numId w:val="19"/>
        </w:numPr>
        <w:rPr>
          <w:rFonts w:eastAsia="Times New Roman" w:cs="Times New Roman" w:ascii="Times New Roman" w:hAnsi="Times New Roman"/>
          <w:szCs w:val="24"/>
        </w:rPr>
      </w:pPr>
      <w:r>
        <w:t>en qualité de membres de plusieurs groupements.</w:t>
      </w:r>
    </w:p>
    <w:p w14:paraId="0E2CB6C7" w14:textId="77777777"/>
    <w:p w14:paraId="646CAE42" w14:textId="5812BC29">
      <w:pPr>
        <w:rPr>
          <w:noProof/>
        </w:rPr>
      </w:pPr>
      <w:r>
        <w:rPr>
          <w:noProof/>
        </w:rPr>
        <w:t xml:space="preserve">Quelle que soit la forme du groupement d’opérateurs économiques, un mandataire doit être désigné par les membres du groupement concerné. </w:t>
      </w:r>
    </w:p>
    <w:p w14:paraId="3865FC22" w14:textId="77777777">
      <w:pPr>
        <w:rPr>
          <w:noProof/>
        </w:rPr>
      </w:pPr>
    </w:p>
    <w:p w14:paraId="315932D6" w14:textId="25AF9552">
      <w:pPr>
        <w:rPr>
          <w:noProof/>
        </w:rPr>
      </w:pPr>
      <w:r>
        <w:rPr>
          <w:noProof/>
        </w:rPr>
        <w:t xml:space="preserve">Dans le groupement conjoint, le mandataire du groupement est solidaire de tous les membres du groupement, pour l’exécution du présent </w:t>
      </w:r>
      <w:r>
        <w:rPr>
          <w:noProof/>
        </w:rPr>
        <w:t>accord-cadre</w:t>
      </w:r>
      <w:r>
        <w:rPr>
          <w:noProof/>
        </w:rPr>
        <w:t>,</w:t>
      </w:r>
      <w:r>
        <w:rPr>
          <w:noProof/>
        </w:rPr>
        <w:t xml:space="preserve"> et durant la durée de garanties prévues dans les documents du présent </w:t>
      </w:r>
      <w:r>
        <w:rPr>
          <w:noProof/>
        </w:rPr>
        <w:t>accord-cadre</w:t>
      </w:r>
      <w:r>
        <w:rPr>
          <w:noProof/>
        </w:rPr>
        <w:t xml:space="preserve"> et par les lois et réglements en vigueur.</w:t>
      </w:r>
    </w:p>
    <w:p w14:paraId="46000D30" w14:textId="788BAC19">
      <w:pPr>
        <w:pStyle w:val="Titre1"/>
        <w:keepNext/>
        <w:rPr/>
      </w:pPr>
      <w:bookmarkStart w:id="26" w:name="_Toc219905975"/>
      <w:bookmarkStart w:id="27" w:name="_Toc130036867"/>
      <w:r>
        <w:rPr/>
        <w:t>ARTICLE 2</w:t>
      </w:r>
      <w:r>
        <w:rPr/>
        <w:t xml:space="preserve"> – </w:t>
      </w:r>
      <w:r>
        <w:rPr/>
        <w:t>CONTENU ET</w:t>
      </w:r>
      <w:r>
        <w:rPr/>
        <w:t xml:space="preserve"> </w:t>
      </w:r>
      <w:r>
        <w:rPr/>
        <w:t>MODALITÉS</w:t>
      </w:r>
      <w:r>
        <w:rPr/>
        <w:t xml:space="preserve"> D’OBTENTION DU DOSSIER DE CONSULTATION DES ENTREPRISES</w:t>
      </w:r>
      <w:bookmarkEnd w:id="26"/>
    </w:p>
    <w:p w14:paraId="20312C1C" w14:textId="553E5E4B">
      <w:pPr>
        <w:pStyle w:val="Titre2"/>
        <w:keepNext/>
        <w:rPr/>
      </w:pPr>
      <w:bookmarkStart w:id="28" w:name="_Toc219905976"/>
      <w:r>
        <w:rPr/>
        <w:t>2.</w:t>
      </w:r>
      <w:r>
        <w:rPr/>
        <w:t>1. Contenu du dossier de la consultation</w:t>
      </w:r>
      <w:bookmarkEnd w:id="28"/>
    </w:p>
    <w:p w14:paraId="1975F8CE" w14:textId="77777777">
      <w:r>
        <w:t>Le dossier de la consultation des entreprises (DCE) contient les pièces suivantes :</w:t>
      </w:r>
    </w:p>
    <w:p w14:paraId="5DD6A703" w14:textId="77777777"/>
    <w:p w14:paraId="7CC1FE10" w14:textId="58A278A0">
      <w:pPr>
        <w:pStyle w:val="Paragraphedeliste"/>
        <w:numPr>
          <w:ilvl w:val="0"/>
          <w:numId w:val="26"/>
        </w:numPr>
        <w:ind w:left="567"/>
      </w:pPr>
      <w:r>
        <w:t xml:space="preserve">Le règlement de la </w:t>
      </w:r>
      <w:r>
        <w:t>consultation ;</w:t>
      </w:r>
    </w:p>
    <w:p w14:paraId="3F6E4AAF" w14:textId="550D970E">
      <w:pPr>
        <w:pStyle w:val="Paragraphedeliste"/>
        <w:numPr>
          <w:ilvl w:val="0"/>
          <w:numId w:val="26"/>
        </w:numPr>
        <w:ind w:left="567"/>
      </w:pPr>
      <w:r>
        <w:t xml:space="preserve">Le cahier des clauses administratives </w:t>
      </w:r>
      <w:r>
        <w:t>part</w:t>
      </w:r>
      <w:r>
        <w:t>iculière</w:t>
      </w:r>
      <w:r>
        <w:t xml:space="preserve">s </w:t>
      </w:r>
      <w:r>
        <w:t>;</w:t>
      </w:r>
    </w:p>
    <w:p w14:paraId="07C6814D" w14:textId="2F3BDCA4">
      <w:pPr>
        <w:pStyle w:val="Paragraphedeliste"/>
        <w:numPr>
          <w:ilvl w:val="0"/>
          <w:numId w:val="26"/>
        </w:numPr>
        <w:ind w:left="567"/>
      </w:pPr>
      <w:r>
        <w:t xml:space="preserve">Le cahier des clauses techniques particulières</w:t>
      </w:r>
      <w:r>
        <w:t xml:space="preserve"> </w:t>
      </w:r>
      <w:r>
        <w:t>;</w:t>
      </w:r>
    </w:p>
    <w:p w14:paraId="2C89148E" w14:textId="6530333D">
      <w:pPr>
        <w:pStyle w:val="Paragraphedeliste"/>
        <w:numPr>
          <w:ilvl w:val="0"/>
          <w:numId w:val="26"/>
        </w:numPr>
        <w:ind w:left="567"/>
      </w:pPr>
      <w:r>
        <w:t xml:space="preserve">L’acte d’engagement (AE) </w:t>
      </w:r>
      <w:r>
        <w:t>;</w:t>
      </w:r>
    </w:p>
    <w:p w14:paraId="21E6511F" w14:textId="3E9A6D8C">
      <w:pPr>
        <w:pStyle w:val="Paragraphedeliste"/>
        <w:numPr>
          <w:ilvl w:val="0"/>
          <w:numId w:val="26"/>
        </w:numPr>
        <w:ind w:left="567"/>
      </w:pPr>
      <w:r>
        <w:t>La décomposition</w:t>
      </w:r>
      <w:r>
        <w:t xml:space="preserve"> du prix global et forfaitaire</w:t>
      </w:r>
      <w:r>
        <w:t> ;</w:t>
      </w:r>
    </w:p>
    <w:p w14:paraId="65851774" w14:textId="49F3AFD5">
      <w:pPr>
        <w:pStyle w:val="Paragraphedeliste"/>
        <w:numPr>
          <w:ilvl w:val="0"/>
          <w:numId w:val="26"/>
        </w:numPr>
        <w:ind w:left="567"/>
      </w:pPr>
      <w:r>
        <w:t>Le bordereau des prix un</w:t>
      </w:r>
      <w:r>
        <w:t xml:space="preserve">itaires (BPU) </w:t>
      </w:r>
      <w:r>
        <w:t>;</w:t>
      </w:r>
    </w:p>
    <w:p w14:paraId="09FBDFF4" w14:textId="6B3A780E">
      <w:pPr>
        <w:pStyle w:val="Paragraphedeliste"/>
        <w:numPr>
          <w:ilvl w:val="0"/>
          <w:numId w:val="26"/>
        </w:numPr>
        <w:ind w:left="567"/>
      </w:pPr>
      <w:r>
        <w:t xml:space="preserve">Le </w:t>
      </w:r>
      <w:r>
        <w:t>Cadre de mémoire technique et environnemental</w:t>
      </w:r>
      <w:r>
        <w:t xml:space="preserve"/>
      </w:r>
      <w:r>
        <w:t> </w:t>
      </w:r>
      <w:r>
        <w:t>;</w:t>
      </w:r>
    </w:p>
    <w:p w14:paraId="0DB3C7E2" w14:textId="58FAC7F7">
      <w:pPr>
        <w:pStyle w:val="Paragraphedeliste"/>
        <w:numPr>
          <w:ilvl w:val="0"/>
          <w:numId w:val="26"/>
        </w:numPr>
        <w:ind w:left="567"/>
      </w:pPr>
      <w:r>
        <w:t>L</w:t>
      </w:r>
      <w:r>
        <w:t>e</w:t>
      </w:r>
      <w:r>
        <w:t xml:space="preserve"> formulaire DC1</w:t>
      </w:r>
      <w:r>
        <w:t> : lettre de candidature</w:t>
      </w:r>
      <w:r>
        <w:t> ;</w:t>
      </w:r>
    </w:p>
    <w:p w14:paraId="55009983" w14:textId="5BD3FF1F">
      <w:pPr>
        <w:pStyle w:val="Paragraphedeliste"/>
        <w:numPr>
          <w:ilvl w:val="0"/>
          <w:numId w:val="26"/>
        </w:numPr>
        <w:ind w:left="567"/>
      </w:pPr>
      <w:r>
        <w:t xml:space="preserve">Le formulaire </w:t>
      </w:r>
      <w:r>
        <w:t>DC2</w:t>
      </w:r>
      <w:r>
        <w:t xml:space="preserve"> : </w:t>
      </w:r>
      <w:r>
        <w:t>déclaration du candidat individuel ou du membre du groupement ;</w:t>
      </w:r>
    </w:p>
    <w:p w14:paraId="55009983" w14:textId="5BD3FF1F">
      <w:pPr>
        <w:pStyle w:val="Paragraphedeliste"/>
        <w:numPr>
          <w:ilvl w:val="0"/>
          <w:numId w:val="26"/>
        </w:numPr>
        <w:ind w:left="567"/>
      </w:pPr>
      <w:r>
        <w:t>Le formulaire DC4 : déclaration de sous-traitance ;</w:t>
      </w:r>
    </w:p>
    <w:p w14:paraId="4AE448D6" w14:textId="77777777">
      <w:pPr>
        <w:pStyle w:val="Paragraphedeliste"/>
        <w:rPr/>
      </w:pPr>
    </w:p>
    <w:p w14:paraId="32CB287D" w14:textId="7909C688">
      <w:r>
        <w:t xml:space="preserve">Les </w:t>
      </w:r>
      <w:r>
        <w:t>formats et les contenus des documents de la présente consultation</w:t>
      </w:r>
      <w:r>
        <w:t xml:space="preserve"> ne doivent pas être modifiés par</w:t>
      </w:r>
      <w:r>
        <w:t xml:space="preserve"> les candidats/soumissionnaires</w:t>
      </w:r>
      <w:r>
        <w:t xml:space="preserve"> qui doivent </w:t>
      </w:r>
      <w:r>
        <w:t>se</w:t>
      </w:r>
      <w:r>
        <w:t xml:space="preserve"> contenter d</w:t>
      </w:r>
      <w:r>
        <w:t>’</w:t>
      </w:r>
      <w:r>
        <w:t>y mentionner les informatio</w:t>
      </w:r>
      <w:r>
        <w:t xml:space="preserve">ns qui sont nécessaires pour la recevabilité et l’appréciation de leurs candidatures et leurs offres</w:t>
      </w:r>
      <w:r>
        <w:t/>
      </w:r>
      <w:r>
        <w:t xml:space="preserve"/>
      </w:r>
      <w:r>
        <w:t/>
      </w:r>
      <w:r>
        <w:t/>
      </w:r>
      <w:r>
        <w:t>, en</w:t>
      </w:r>
      <w:r>
        <w:t xml:space="preserve"> réponse à la présente consultation.</w:t>
      </w:r>
    </w:p>
    <w:p w14:paraId="09C77C9F" w14:textId="657D7CE8"/>
    <w:p w14:paraId="1A2DB463" w14:textId="2C7F630D">
      <w:r>
        <w:rPr>
          <w:b/>
        </w:rPr>
        <w:t>L’offre technique de chaque soumissionnaire doit être décrite</w:t>
      </w:r>
      <w:r>
        <w:rPr>
          <w:b/>
        </w:rPr>
        <w:t xml:space="preserve"> et contenue</w:t>
      </w:r>
      <w:r>
        <w:rPr>
          <w:b/>
        </w:rPr>
        <w:t>, à peine d’irrégularité</w:t>
      </w:r>
      <w:r>
        <w:rPr>
          <w:b/>
        </w:rPr>
        <w:t xml:space="preserve"> de l’offre</w:t>
      </w:r>
      <w:r>
        <w:rPr>
          <w:b/>
        </w:rPr>
        <w:t>, dans le cadre de mémoire technique et environnemental. Toute autre information relative à l’offre technique du soumissionnaire</w:t>
      </w:r>
      <w:r>
        <w:rPr>
          <w:b/>
        </w:rPr>
        <w:t>,</w:t>
      </w:r>
      <w:r>
        <w:rPr>
          <w:b/>
        </w:rPr>
        <w:t xml:space="preserve"> qui ne figure pas dans ce cadre de mémoire technique et environnemental, ne sera pas prise en considération par la ville d’Aubervilliers</w:t>
      </w:r>
      <w:r>
        <w:rPr>
          <w:b/>
        </w:rPr>
        <w:t>,</w:t>
      </w:r>
      <w:r>
        <w:rPr>
          <w:b/>
        </w:rPr>
        <w:t xml:space="preserve"> dans le cadre de l’analyse des offres</w:t>
      </w:r>
      <w:r>
        <w:t>.</w:t>
      </w:r>
    </w:p>
    <w:p w14:paraId="36DD08B8" w14:textId="77777777"/>
    <w:p w14:paraId="58A4555B" w14:textId="3E3C95E0">
      <w:r>
        <w:t>En cas de contradiction entre les documents détenus par les candidats/soumissionnaires, l</w:t>
      </w:r>
      <w:r>
        <w:t>es documents détenus</w:t>
      </w:r>
      <w:r>
        <w:t xml:space="preserve"> et publiés</w:t>
      </w:r>
      <w:r>
        <w:t xml:space="preserve"> par la ville d’Aubervilliers f</w:t>
      </w:r>
      <w:r>
        <w:t>er</w:t>
      </w:r>
      <w:r>
        <w:t>ont seuls foi.</w:t>
      </w:r>
    </w:p>
    <w:p w14:paraId="3B6AF64B" w14:textId="2BAA51EF">
      <w:pPr>
        <w:pStyle w:val="Titre2"/>
        <w:keepNext/>
        <w:rPr/>
      </w:pPr>
      <w:bookmarkStart w:id="29" w:name="_Toc219905977"/>
      <w:r>
        <w:rPr/>
        <w:t>2.</w:t>
      </w:r>
      <w:r>
        <w:rPr/>
        <w:t>2. Obtention du dossier de la consultation</w:t>
      </w:r>
      <w:bookmarkEnd w:id="29"/>
    </w:p>
    <w:p w14:paraId="11776CD9" w14:textId="0E088C2F">
      <w:pPr>
        <w:rPr>
          <w:noProof/>
        </w:rPr>
      </w:pPr>
      <w:r>
        <w:rPr>
          <w:noProof/>
        </w:rPr>
        <w:t>La procédur</w:t>
      </w:r>
      <w:r>
        <w:rPr>
          <w:noProof/>
        </w:rPr>
        <w:t xml:space="preserve">e de passation du présent </w:t>
      </w:r>
      <w:r>
        <w:rPr>
          <w:noProof/>
        </w:rPr>
        <w:t>accord-cadre</w:t>
      </w:r>
      <w:r>
        <w:rPr>
          <w:noProof/>
        </w:rPr>
        <w:t xml:space="preserve"> se fait entièrement de manière dématérialisée, via le profil d’acheteur. Ainsi, tous les échanges d’informations et de documents se feront via le profil acheteur. </w:t>
      </w:r>
    </w:p>
    <w:p w14:paraId="2D976CE4" w14:textId="77777777">
      <w:pPr>
        <w:rPr>
          <w:noProof/>
        </w:rPr>
      </w:pPr>
    </w:p>
    <w:p w14:paraId="2539392D" w14:textId="4D4E5F5E">
      <w:pPr>
        <w:rPr>
          <w:noProof/>
        </w:rPr>
      </w:pPr>
      <w:r>
        <w:rPr>
          <w:noProof/>
        </w:rPr>
        <w:t>En application de l’article R. 2132-</w:t>
      </w:r>
      <w:r>
        <w:rPr>
          <w:noProof/>
        </w:rPr>
        <w:t>2</w:t>
      </w:r>
      <w:r>
        <w:rPr>
          <w:noProof/>
        </w:rPr>
        <w:t xml:space="preserve"> </w:t>
      </w:r>
      <w:r>
        <w:rPr>
          <w:noProof/>
        </w:rPr>
        <w:t xml:space="preserve">du </w:t>
      </w:r>
      <w:r>
        <w:rPr>
          <w:noProof/>
        </w:rPr>
        <w:t>CCP, le Dossier de consultation des entreprises (D.C.E.) peut être téléc</w:t>
      </w:r>
      <w:r>
        <w:rPr>
          <w:noProof/>
        </w:rPr>
        <w:t>hargé gratuitement sur le site</w:t>
      </w:r>
      <w:r>
        <w:rPr>
          <w:b/>
          <w:noProof/>
        </w:rPr>
        <w:t xml:space="preserve"> </w:t>
      </w:r>
      <w:r>
        <w:rPr>
          <w:b/>
          <w:noProof/>
        </w:rPr>
        <w:t>(</w:t>
      </w:r>
      <w:hyperlink r:id="rId9" w:history="1">
        <w:r>
          <w:rPr>
            <w:b/>
            <w:noProof/>
            <w:u w:val="single"/>
          </w:rPr>
          <w:t>https://</w:t>
        </w:r>
        <w:r>
          <w:rPr>
            <w:b/>
            <w:bCs/>
            <w:noProof/>
            <w:u w:val="single"/>
          </w:rPr>
          <w:t>www.maximilien.fr</w:t>
        </w:r>
      </w:hyperlink>
      <w:r>
        <w:rPr>
          <w:b/>
          <w:bCs/>
          <w:noProof/>
        </w:rPr>
        <w:t xml:space="preserve">), </w:t>
      </w:r>
      <w:r>
        <w:rPr>
          <w:bCs/>
          <w:noProof/>
        </w:rPr>
        <w:t>à compter de la publication de l’avis d’appel à la concurrence sur les supports requis.</w:t>
      </w:r>
    </w:p>
    <w:p w14:paraId="1F533EBA" w14:textId="77777777">
      <w:pPr>
        <w:rPr>
          <w:noProof/>
        </w:rPr>
      </w:pPr>
    </w:p>
    <w:p w14:paraId="51F2C2AA" w14:textId="568261FA">
      <w:pPr>
        <w:rPr>
          <w:noProof/>
        </w:rPr>
      </w:pPr>
      <w:r>
        <w:rPr>
          <w:noProof/>
        </w:rPr>
        <w:t xml:space="preserve">Les documents qui ont fait l’objet d’une publication officielle peuvent être obtenus par les candidats sur les </w:t>
      </w:r>
      <w:r>
        <w:rPr>
          <w:noProof/>
        </w:rPr>
        <w:t>sites de publication concernés.</w:t>
      </w:r>
    </w:p>
    <w:p w14:paraId="4DFBBFFB" w14:textId="73B691EF">
      <w:pPr>
        <w:pStyle w:val="Titre1"/>
        <w:keepNext/>
        <w:rPr/>
      </w:pPr>
      <w:bookmarkStart w:id="76" w:name="_Toc900000076"/>
      <w:r>
        <w:t>ARTICLE 3 – VISITE FACULTATIVE DES SITES</w:t>
      </w:r>
      <w:bookmarkEnd w:id="76"/>
    </w:p>
    <w:p w14:paraId="4DFBBFFB" w14:textId="73B691EF">
      <w:pPr>
        <w:rPr>
          <w:color w:val="auto"/>
        </w:rPr>
      </w:pPr>
      <w:r>
        <w:t>La visite des sites est facultative. Elle a pour objet de permettre au candidat d’apprécier par lui-même la consistance des installations, leur implantation et les sujétions d’accès qui s’y attachent.</w:t>
      </w:r>
    </w:p>
    <w:p w14:paraId="4DFBBFFB" w14:textId="73B691EF">
      <w:pPr>
        <w:rPr>
          <w:color w:val="auto"/>
        </w:rPr>
      </w:pPr>
      <w:r/>
    </w:p>
    <w:p w14:paraId="4DFBBFFB" w14:textId="73B691EF">
      <w:pPr>
        <w:rPr>
          <w:color w:val="auto"/>
        </w:rPr>
      </w:pPr>
      <w:r>
        <w:t>Le candidat qui souhaite visiter les sites prend rendez-vous avec M. Fabrice Ben Fadhla, responsable du pôle conformité et sécurité, par courriel à l’adresse fabrice.benfadhla@mairie-aubervilliers.fr, en mettant en copie commandepublique@mairie-aubervilliers.fr, au plus tard huit jours avant la date limite de remise des offres.</w:t>
      </w:r>
    </w:p>
    <w:p w14:paraId="4DFBBFFB" w14:textId="73B691EF">
      <w:pPr>
        <w:rPr>
          <w:color w:val="auto"/>
        </w:rPr>
      </w:pPr>
      <w:r/>
    </w:p>
    <w:p w14:paraId="4DFBBFFB" w14:textId="73B691EF">
      <w:pPr>
        <w:rPr>
          <w:color w:val="auto"/>
        </w:rPr>
      </w:pPr>
      <w:r>
        <w:t>Les sites visités sont les suivants :</w:t>
      </w:r>
    </w:p>
    <w:tbl>
      <w:tblPr>
        <w:tblW w:type="auto" w:w="0"/>
        <w:tblLayout w:type="fixed"/>
        <w:tblLook w:firstColumn="1" w:firstRow="1" w:lastColumn="0" w:lastRow="0" w:noHBand="0" w:noVBand="1" w:val="04A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2608"/>
        <w:gridCol w:w="3798"/>
        <w:gridCol w:w="1134"/>
        <w:gridCol w:w="1474"/>
      </w:tblGrid>
      <w:tr>
        <w:tc>
          <w:tcPr>
            <w:tcW w:type="dxa" w:w="2608"/>
          </w:tcPr>
          <w:p>
            <w:pPr>
              <w:jc w:val="left"/>
            </w:pPr>
            <w:r>
              <w:rPr>
                <w:b/>
              </w:rPr>
              <w:t>Établissement</w:t>
            </w:r>
          </w:p>
        </w:tc>
        <w:tc>
          <w:tcPr>
            <w:tcW w:type="dxa" w:w="3798"/>
          </w:tcPr>
          <w:p>
            <w:pPr>
              <w:jc w:val="left"/>
            </w:pPr>
            <w:r>
              <w:rPr>
                <w:b/>
              </w:rPr>
              <w:t>Adresse</w:t>
            </w:r>
          </w:p>
        </w:tc>
        <w:tc>
          <w:tcPr>
            <w:tcW w:type="dxa" w:w="1134"/>
          </w:tcPr>
          <w:p>
            <w:pPr>
              <w:jc w:val="left"/>
            </w:pPr>
            <w:r>
              <w:rPr>
                <w:b/>
              </w:rPr>
              <w:t>Type</w:t>
            </w:r>
          </w:p>
        </w:tc>
        <w:tc>
          <w:tcPr>
            <w:tcW w:type="dxa" w:w="1474"/>
          </w:tcPr>
          <w:p>
            <w:pPr>
              <w:jc w:val="left"/>
            </w:pPr>
            <w:r>
              <w:rPr>
                <w:b/>
              </w:rPr>
              <w:t>Catégorie</w:t>
            </w:r>
          </w:p>
        </w:tc>
      </w:tr>
      <w:tr>
        <w:tc>
          <w:tcPr>
            <w:tcW w:type="dxa" w:w="2608"/>
          </w:tcPr>
          <w:p>
            <w:pPr>
              <w:jc w:val="left"/>
            </w:pPr>
            <w:r>
              <w:t>Anne Sylvestre</w:t>
            </w:r>
          </w:p>
        </w:tc>
        <w:tc>
          <w:tcPr>
            <w:tcW w:type="dxa" w:w="3798"/>
          </w:tcPr>
          <w:p>
            <w:pPr>
              <w:jc w:val="left"/>
            </w:pPr>
            <w:r>
              <w:t>69, avenue de la République</w:t>
            </w:r>
          </w:p>
        </w:tc>
        <w:tc>
          <w:tcPr>
            <w:tcW w:type="dxa" w:w="1134"/>
          </w:tcPr>
          <w:p>
            <w:pPr>
              <w:jc w:val="left"/>
            </w:pPr>
            <w:r>
              <w:t>R</w:t>
            </w:r>
          </w:p>
        </w:tc>
        <w:tc>
          <w:tcPr>
            <w:tcW w:type="dxa" w:w="1474"/>
          </w:tcPr>
          <w:p>
            <w:pPr>
              <w:jc w:val="left"/>
            </w:pPr>
            <w:r>
              <w:t>3</w:t>
            </w:r>
          </w:p>
        </w:tc>
      </w:tr>
      <w:tr>
        <w:tc>
          <w:tcPr>
            <w:tcW w:type="dxa" w:w="2608"/>
          </w:tcPr>
          <w:p>
            <w:pPr>
              <w:jc w:val="left"/>
            </w:pPr>
            <w:r>
              <w:t>Bâtiment administratif</w:t>
            </w:r>
          </w:p>
        </w:tc>
        <w:tc>
          <w:tcPr>
            <w:tcW w:type="dxa" w:w="3798"/>
          </w:tcPr>
          <w:p>
            <w:pPr>
              <w:jc w:val="left"/>
            </w:pPr>
            <w:r>
              <w:t>31/33 rue de la Commune de Paris</w:t>
            </w:r>
          </w:p>
        </w:tc>
        <w:tc>
          <w:tcPr>
            <w:tcW w:type="dxa" w:w="1134"/>
          </w:tcPr>
          <w:p>
            <w:pPr>
              <w:jc w:val="left"/>
            </w:pPr>
            <w:r>
              <w:t>W</w:t>
            </w:r>
          </w:p>
        </w:tc>
        <w:tc>
          <w:tcPr>
            <w:tcW w:type="dxa" w:w="1474"/>
          </w:tcPr>
          <w:p>
            <w:pPr>
              <w:jc w:val="left"/>
            </w:pPr>
            <w:r>
              <w:t>5</w:t>
            </w:r>
          </w:p>
        </w:tc>
      </w:tr>
      <w:tr>
        <w:tc>
          <w:tcPr>
            <w:tcW w:type="dxa" w:w="2608"/>
          </w:tcPr>
          <w:p>
            <w:pPr>
              <w:jc w:val="left"/>
            </w:pPr>
            <w:r>
              <w:t>Centre de santé</w:t>
            </w:r>
          </w:p>
        </w:tc>
        <w:tc>
          <w:tcPr>
            <w:tcW w:type="dxa" w:w="3798"/>
          </w:tcPr>
          <w:p>
            <w:pPr>
              <w:jc w:val="left"/>
            </w:pPr>
            <w:r>
              <w:t>5, rue du Docteur Pesqué</w:t>
            </w:r>
          </w:p>
        </w:tc>
        <w:tc>
          <w:tcPr>
            <w:tcW w:type="dxa" w:w="1134"/>
          </w:tcPr>
          <w:p>
            <w:pPr>
              <w:jc w:val="left"/>
            </w:pPr>
            <w:r>
              <w:t>U</w:t>
            </w:r>
          </w:p>
        </w:tc>
        <w:tc>
          <w:tcPr>
            <w:tcW w:type="dxa" w:w="1474"/>
          </w:tcPr>
          <w:p>
            <w:pPr>
              <w:jc w:val="left"/>
            </w:pPr>
            <w:r>
              <w:t>4</w:t>
            </w:r>
          </w:p>
        </w:tc>
      </w:tr>
      <w:tr>
        <w:tc>
          <w:tcPr>
            <w:tcW w:type="dxa" w:w="2608"/>
          </w:tcPr>
          <w:p>
            <w:pPr>
              <w:jc w:val="left"/>
            </w:pPr>
            <w:r>
              <w:t>GS Jean Macé Condorcet</w:t>
            </w:r>
          </w:p>
        </w:tc>
        <w:tc>
          <w:tcPr>
            <w:tcW w:type="dxa" w:w="3798"/>
          </w:tcPr>
          <w:p>
            <w:pPr>
              <w:jc w:val="left"/>
            </w:pPr>
            <w:r>
              <w:t>44/46 rue Henri Barbusse</w:t>
            </w:r>
          </w:p>
        </w:tc>
        <w:tc>
          <w:tcPr>
            <w:tcW w:type="dxa" w:w="1134"/>
          </w:tcPr>
          <w:p>
            <w:pPr>
              <w:jc w:val="left"/>
            </w:pPr>
            <w:r>
              <w:t>R</w:t>
            </w:r>
          </w:p>
        </w:tc>
        <w:tc>
          <w:tcPr>
            <w:tcW w:type="dxa" w:w="1474"/>
          </w:tcPr>
          <w:p>
            <w:pPr>
              <w:jc w:val="left"/>
            </w:pPr>
            <w:r>
              <w:t>2</w:t>
            </w:r>
          </w:p>
        </w:tc>
      </w:tr>
      <w:tr>
        <w:tc>
          <w:tcPr>
            <w:tcW w:type="dxa" w:w="2608"/>
          </w:tcPr>
          <w:p>
            <w:pPr>
              <w:jc w:val="left"/>
            </w:pPr>
            <w:r>
              <w:t>Gymnase Manouchian</w:t>
            </w:r>
          </w:p>
        </w:tc>
        <w:tc>
          <w:tcPr>
            <w:tcW w:type="dxa" w:w="3798"/>
          </w:tcPr>
          <w:p>
            <w:pPr>
              <w:jc w:val="left"/>
            </w:pPr>
            <w:r>
              <w:t>41, rue Lécuyer</w:t>
            </w:r>
          </w:p>
        </w:tc>
        <w:tc>
          <w:tcPr>
            <w:tcW w:type="dxa" w:w="1134"/>
          </w:tcPr>
          <w:p>
            <w:pPr>
              <w:jc w:val="left"/>
            </w:pPr>
            <w:r>
              <w:t>X</w:t>
            </w:r>
          </w:p>
        </w:tc>
        <w:tc>
          <w:tcPr>
            <w:tcW w:type="dxa" w:w="1474"/>
          </w:tcPr>
          <w:p>
            <w:pPr>
              <w:jc w:val="left"/>
            </w:pPr>
            <w:r>
              <w:t>4</w:t>
            </w:r>
          </w:p>
        </w:tc>
      </w:tr>
      <w:tr>
        <w:tc>
          <w:tcPr>
            <w:tcW w:type="dxa" w:w="2608"/>
          </w:tcPr>
          <w:p>
            <w:pPr>
              <w:jc w:val="left"/>
            </w:pPr>
            <w:r>
              <w:t>Hôtel de ville</w:t>
            </w:r>
          </w:p>
        </w:tc>
        <w:tc>
          <w:tcPr>
            <w:tcW w:type="dxa" w:w="3798"/>
          </w:tcPr>
          <w:p>
            <w:pPr>
              <w:jc w:val="left"/>
            </w:pPr>
            <w:r>
              <w:t>2, rue de la Commune de Paris</w:t>
            </w:r>
          </w:p>
        </w:tc>
        <w:tc>
          <w:tcPr>
            <w:tcW w:type="dxa" w:w="1134"/>
          </w:tcPr>
          <w:p>
            <w:pPr>
              <w:jc w:val="left"/>
            </w:pPr>
            <w:r>
              <w:t>W/L</w:t>
            </w:r>
          </w:p>
        </w:tc>
        <w:tc>
          <w:tcPr>
            <w:tcW w:type="dxa" w:w="1474"/>
          </w:tcPr>
          <w:p>
            <w:pPr>
              <w:jc w:val="left"/>
            </w:pPr>
            <w:r>
              <w:t>3</w:t>
            </w:r>
          </w:p>
        </w:tc>
      </w:tr>
      <w:tr>
        <w:tc>
          <w:tcPr>
            <w:tcW w:type="dxa" w:w="2608"/>
          </w:tcPr>
          <w:p>
            <w:pPr>
              <w:jc w:val="left"/>
            </w:pPr>
            <w:r>
              <w:t>Stade Karman</w:t>
            </w:r>
          </w:p>
        </w:tc>
        <w:tc>
          <w:tcPr>
            <w:tcW w:type="dxa" w:w="3798"/>
          </w:tcPr>
          <w:p>
            <w:pPr>
              <w:jc w:val="left"/>
            </w:pPr>
            <w:r>
              <w:t>15/19 rue Firmin Gémier</w:t>
            </w:r>
          </w:p>
        </w:tc>
        <w:tc>
          <w:tcPr>
            <w:tcW w:type="dxa" w:w="1134"/>
          </w:tcPr>
          <w:p>
            <w:pPr>
              <w:jc w:val="left"/>
            </w:pPr>
            <w:r>
              <w:t>PA</w:t>
            </w:r>
          </w:p>
        </w:tc>
        <w:tc>
          <w:tcPr>
            <w:tcW w:type="dxa" w:w="1474"/>
          </w:tcPr>
          <w:p>
            <w:pPr>
              <w:jc w:val="left"/>
            </w:pPr>
            <w:r>
              <w:t>3</w:t>
            </w:r>
          </w:p>
        </w:tc>
      </w:tr>
      <w:tr>
        <w:tc>
          <w:tcPr>
            <w:tcW w:type="dxa" w:w="2608"/>
          </w:tcPr>
          <w:p>
            <w:pPr>
              <w:jc w:val="left"/>
            </w:pPr>
            <w:r>
              <w:t>GS Taous Amrouche</w:t>
            </w:r>
          </w:p>
        </w:tc>
        <w:tc>
          <w:tcPr>
            <w:tcW w:type="dxa" w:w="3798"/>
          </w:tcPr>
          <w:p>
            <w:pPr>
              <w:jc w:val="left"/>
            </w:pPr>
            <w:r>
              <w:t>19, rue de Presles</w:t>
            </w:r>
          </w:p>
        </w:tc>
        <w:tc>
          <w:tcPr>
            <w:tcW w:type="dxa" w:w="1134"/>
          </w:tcPr>
          <w:p>
            <w:pPr>
              <w:jc w:val="left"/>
            </w:pPr>
            <w:r>
              <w:t>R</w:t>
            </w:r>
          </w:p>
        </w:tc>
        <w:tc>
          <w:tcPr>
            <w:tcW w:type="dxa" w:w="1474"/>
          </w:tcPr>
          <w:p>
            <w:pPr>
              <w:jc w:val="left"/>
            </w:pPr>
            <w:r>
              <w:t>3</w:t>
            </w:r>
          </w:p>
        </w:tc>
      </w:tr>
      <w:tr>
        <w:tc>
          <w:tcPr>
            <w:tcW w:type="dxa" w:w="2608"/>
          </w:tcPr>
          <w:p>
            <w:pPr>
              <w:jc w:val="left"/>
            </w:pPr>
            <w:r>
              <w:t>CRR</w:t>
            </w:r>
          </w:p>
        </w:tc>
        <w:tc>
          <w:tcPr>
            <w:tcW w:type="dxa" w:w="3798"/>
          </w:tcPr>
          <w:p>
            <w:pPr>
              <w:jc w:val="left"/>
            </w:pPr>
            <w:r>
              <w:t>5, rue Édouard Poisson</w:t>
            </w:r>
          </w:p>
        </w:tc>
        <w:tc>
          <w:tcPr>
            <w:tcW w:type="dxa" w:w="1134"/>
          </w:tcPr>
          <w:p>
            <w:pPr>
              <w:jc w:val="left"/>
            </w:pPr>
            <w:r>
              <w:t>L</w:t>
            </w:r>
          </w:p>
        </w:tc>
        <w:tc>
          <w:tcPr>
            <w:tcW w:type="dxa" w:w="1474"/>
          </w:tcPr>
          <w:p>
            <w:pPr>
              <w:jc w:val="left"/>
            </w:pPr>
            <w:r>
              <w:t>1</w:t>
            </w:r>
          </w:p>
        </w:tc>
      </w:tr>
    </w:tbl>
    <w:p w14:paraId="4DFBBFFB" w14:textId="73B691EF">
      <w:pPr>
        <w:rPr>
          <w:color w:val="auto"/>
        </w:rPr>
      </w:pPr>
      <w:r/>
    </w:p>
    <w:p w14:paraId="4DFBBFFB" w14:textId="73B691EF">
      <w:pPr>
        <w:rPr>
          <w:color w:val="auto"/>
        </w:rPr>
      </w:pPr>
      <w:r>
        <w:t>Une attestation de visite est délivrée au candidat à l’issue de la visite. Elle peut être jointe à l’offre, sans y être exigée : l’absence de visite, comme l’absence d’attestation, est sans effet sur la recevabilité de l’offre.</w:t>
      </w:r>
    </w:p>
    <w:p w14:paraId="4DFBBFFB" w14:textId="73B691EF">
      <w:pPr>
        <w:pStyle w:val="Titre1"/>
        <w:keepNext/>
        <w:rPr/>
      </w:pPr>
      <w:bookmarkStart w:id="30" w:name="_Toc219905978"/>
      <w:r>
        <w:rPr/>
        <w:t xml:space="preserve">ARTICLE 4 – </w:t>
      </w:r>
      <w:r>
        <w:rPr/>
        <w:t/>
      </w:r>
      <w:r>
        <w:rPr/>
        <w:t xml:space="preserve">CONTENU DES PLIS (CANDIDATURES ET OFFRES)</w:t>
      </w:r>
      <w:bookmarkEnd w:id="30"/>
    </w:p>
    <w:p w14:paraId="6458FEAF" w14:textId="0F82AAD9">
      <w:pPr>
        <w:rPr>
          <w:noProof/>
        </w:rPr>
      </w:pPr>
      <w:r>
        <w:rPr>
          <w:noProof/>
        </w:rPr>
        <w:t>Les soumissionnaires sont priés de prévoir, dans leur pli en réponse à la présente procédure de passation :</w:t>
      </w:r>
    </w:p>
    <w:p w14:paraId="22E0F657" w14:textId="77777777">
      <w:pPr>
        <w:rPr>
          <w:noProof/>
        </w:rPr>
      </w:pPr>
    </w:p>
    <w:p w14:paraId="48ECD67C" w14:textId="77777777">
      <w:pPr>
        <w:pStyle w:val="Paragraphedeliste"/>
        <w:numPr>
          <w:ilvl w:val="0"/>
          <w:numId w:val="34"/>
        </w:numPr>
        <w:rPr>
          <w:noProof/>
        </w:rPr>
      </w:pPr>
      <w:r>
        <w:rPr>
          <w:noProof/>
        </w:rPr>
        <w:t>Un sous-dossier contenant les documents relatifs à la candidature.</w:t>
      </w:r>
    </w:p>
    <w:p w14:paraId="657D40B5" w14:textId="33DC1FF6">
      <w:pPr>
        <w:pStyle w:val="Paragraphedeliste"/>
        <w:numPr>
          <w:ilvl w:val="0"/>
          <w:numId w:val="34"/>
        </w:numPr>
        <w:rPr>
          <w:noProof/>
        </w:rPr>
      </w:pPr>
      <w:r>
        <w:rPr>
          <w:noProof/>
        </w:rPr>
        <w:t>Un sous-dossier contenant les documents relatifs à l’offre.</w:t>
      </w:r>
    </w:p>
    <w:p w14:paraId="1EC2FCD5" w14:textId="77777777">
      <w:pPr>
        <w:rPr>
          <w:noProof/>
        </w:rPr>
      </w:pPr>
    </w:p>
    <w:p w14:paraId="11283FF7" w14:textId="576B46C4">
      <w:pPr>
        <w:rPr>
          <w:noProof/>
        </w:rPr>
      </w:pPr>
      <w:r>
        <w:rPr>
          <w:noProof/>
        </w:rPr>
        <w:t>Le dossier à remettre par chaque candidat comportera les éléments indiqués ci-dessous</w:t>
      </w:r>
      <w:r>
        <w:rPr>
          <w:noProof/>
        </w:rPr>
        <w:t xml:space="preserve"> pour la candidature et l’offre, respectivement</w:t>
      </w:r>
      <w:r>
        <w:rPr>
          <w:noProof/>
        </w:rPr>
        <w:t>.</w:t>
      </w:r>
    </w:p>
    <w:p w14:paraId="0EB825ED" w14:textId="041FDA27">
      <w:pPr>
        <w:pStyle w:val="Titre2"/>
        <w:keepNext/>
        <w:rPr/>
      </w:pPr>
      <w:bookmarkStart w:id="31" w:name="_Toc108008344"/>
      <w:bookmarkStart w:id="32" w:name="_Toc219905979"/>
      <w:r>
        <w:rPr/>
        <w:t>4.1. Éléments</w:t>
      </w:r>
      <w:r>
        <w:rPr/>
        <w:t xml:space="preserve"> de la candidature</w:t>
      </w:r>
      <w:bookmarkEnd w:id="31"/>
      <w:bookmarkEnd w:id="32"/>
    </w:p>
    <w:p w14:paraId="4993BCCE" w14:textId="015981B3">
      <w:pPr>
        <w:rPr>
          <w:noProof/>
        </w:rPr>
      </w:pPr>
      <w:r>
        <w:rPr>
          <w:noProof/>
        </w:rPr>
        <w:t xml:space="preserve">Les candidats devront remettre, à peine d’irrégularité de leurs candidatures et de leur offre</w:t>
      </w:r>
      <w:r>
        <w:rPr>
          <w:noProof/>
        </w:rPr>
        <w:t/>
      </w:r>
      <w:r>
        <w:rPr>
          <w:noProof/>
        </w:rPr>
        <w:t xml:space="preserve"/>
      </w:r>
      <w:r>
        <w:rPr>
          <w:noProof/>
        </w:rPr>
        <w:t/>
      </w:r>
      <w:r>
        <w:rPr>
          <w:noProof/>
        </w:rPr>
        <w:t>, les documents suivants :</w:t>
      </w:r>
    </w:p>
    <w:p w14:paraId="43BEFE28" w14:textId="77777777">
      <w:pPr>
        <w:rPr>
          <w:noProof/>
        </w:rPr>
      </w:pPr>
    </w:p>
    <w:p w14:paraId="11291DC6" w14:textId="77777777">
      <w:pPr>
        <w:pStyle w:val="Paragraphedeliste"/>
        <w:numPr>
          <w:ilvl w:val="0"/>
          <w:numId w:val="25"/>
        </w:numPr>
        <w:rPr>
          <w:noProof/>
        </w:rPr>
      </w:pPr>
      <w:r>
        <w:rPr>
          <w:b/>
          <w:bCs/>
          <w:noProof/>
        </w:rPr>
        <w:t xml:space="preserve">Le </w:t>
      </w:r>
      <w:r>
        <w:rPr>
          <w:b/>
          <w:noProof/>
        </w:rPr>
        <w:t>formulaire DC1</w:t>
      </w:r>
      <w:r>
        <w:rPr>
          <w:noProof/>
        </w:rPr>
        <w:t xml:space="preserve"> « Lettre de candidature – Habilitation du mandataire par ses co-traitants » dûment complété, daté et signé en original ; </w:t>
      </w:r>
    </w:p>
    <w:p w14:paraId="7167F537" w14:textId="0CF425EF">
      <w:pPr>
        <w:pStyle w:val="Paragraphedeliste"/>
        <w:numPr>
          <w:ilvl w:val="0"/>
          <w:numId w:val="25"/>
        </w:numPr>
        <w:rPr>
          <w:noProof/>
        </w:rPr>
      </w:pPr>
      <w:r>
        <w:rPr>
          <w:b/>
          <w:bCs/>
          <w:noProof/>
        </w:rPr>
        <w:t xml:space="preserve">Le </w:t>
      </w:r>
      <w:r>
        <w:rPr>
          <w:b/>
          <w:noProof/>
        </w:rPr>
        <w:t>formulaire DC2</w:t>
      </w:r>
      <w:r>
        <w:rPr>
          <w:noProof/>
        </w:rPr>
        <w:t xml:space="preserve"> « Déclaration du candidat individuel ou du membre du groupement » dûment complété ;</w:t>
      </w:r>
    </w:p>
    <w:p w14:paraId="3C373957" w14:textId="55D2339C">
      <w:pPr>
        <w:pStyle w:val="Paragraphedeliste"/>
        <w:numPr>
          <w:ilvl w:val="0"/>
          <w:numId w:val="25"/>
        </w:numPr>
        <w:rPr>
          <w:noProof/>
        </w:rPr>
      </w:pPr>
      <w:r>
        <w:rPr>
          <w:noProof/>
        </w:rPr>
        <w:t xml:space="preserve">Le cas échéant, une copie du ou des jugements prononcés, si le candidat est en redressement judiciaire, l’autorisant à poursuivre son activité dans la période d’exécution </w:t>
      </w:r>
      <w:r>
        <w:rPr>
          <w:noProof/>
        </w:rPr>
        <w:t>de l’accord-cadre</w:t>
      </w:r>
      <w:r>
        <w:rPr>
          <w:noProof/>
        </w:rPr>
        <w:t>.</w:t>
      </w:r>
    </w:p>
    <w:p w14:paraId="2D9F89E9" w14:textId="77777777">
      <w:pPr>
        <w:rPr>
          <w:noProof/>
        </w:rPr>
      </w:pPr>
    </w:p>
    <w:p w14:paraId="5C7A782C" w14:textId="63D8A1BD">
      <w:pPr>
        <w:rPr>
          <w:noProof/>
        </w:rPr>
      </w:pPr>
      <w:r>
        <w:rPr>
          <w:noProof/>
        </w:rPr>
        <w:t xml:space="preserve">Les candidats devront également fournir, à peine d’irrégularité de leur candidature et de leur offre</w:t>
      </w:r>
      <w:r>
        <w:rPr>
          <w:noProof/>
        </w:rPr>
        <w:t/>
      </w:r>
      <w:r>
        <w:rPr>
          <w:noProof/>
        </w:rPr>
        <w:t/>
      </w:r>
      <w:r>
        <w:rPr>
          <w:noProof/>
        </w:rPr>
        <w:t xml:space="preserve"/>
      </w:r>
      <w:r>
        <w:rPr>
          <w:noProof/>
        </w:rPr>
        <w:t/>
      </w:r>
      <w:r>
        <w:rPr>
          <w:noProof/>
        </w:rPr>
        <w:t xml:space="preserve"> :</w:t>
      </w:r>
    </w:p>
    <w:p w14:paraId="61612997" w14:textId="77777777">
      <w:pPr>
        <w:rPr>
          <w:noProof/>
        </w:rPr>
      </w:pPr>
    </w:p>
    <w:p w14:paraId="67857E7D" w14:textId="77777777">
      <w:pPr>
        <w:pStyle w:val="Paragraphedeliste"/>
        <w:numPr>
          <w:ilvl w:val="0"/>
          <w:numId w:val="6"/>
        </w:numPr>
        <w:ind w:left="641" w:hanging="357"/>
        <w:rPr>
          <w:noProof/>
        </w:rPr>
      </w:pPr>
      <w:r>
        <w:rPr>
          <w:noProof/>
        </w:rPr>
        <w:t>Une liste de références de prestations similaires exécutées par l’entreprise au cours des trois dernières années ;</w:t>
      </w:r>
    </w:p>
    <w:p w14:paraId="07526C30" w14:textId="77777777">
      <w:pPr>
        <w:pStyle w:val="Paragraphedeliste"/>
        <w:numPr>
          <w:ilvl w:val="0"/>
          <w:numId w:val="6"/>
        </w:numPr>
        <w:ind w:left="641" w:hanging="357"/>
        <w:rPr>
          <w:noProof/>
        </w:rPr>
      </w:pPr>
      <w:r>
        <w:rPr>
          <w:noProof/>
        </w:rPr>
        <w:t>Un descriptif des moyens matériels et effectifs moyens annuels du candidat ;</w:t>
      </w:r>
    </w:p>
    <w:p w14:paraId="7131D1AD" w14:textId="2ADB3F22">
      <w:pPr>
        <w:pStyle w:val="Paragraphedeliste"/>
        <w:numPr>
          <w:ilvl w:val="0"/>
          <w:numId w:val="6"/>
        </w:numPr>
        <w:ind w:left="641" w:hanging="357"/>
        <w:rPr>
          <w:noProof/>
        </w:rPr>
      </w:pPr>
      <w:r>
        <w:rPr>
          <w:noProof/>
        </w:rPr>
        <w:t>Les qualifications professionnelles</w:t>
      </w:r>
      <w:r>
        <w:rPr>
          <w:noProof/>
        </w:rPr>
        <w:t xml:space="preserve"> </w:t>
      </w:r>
      <w:r>
        <w:rPr>
          <w:noProof/>
        </w:rPr>
        <w:t xml:space="preserve">nécessaires pour exercer les prestations objet du présent </w:t>
      </w:r>
      <w:r>
        <w:rPr>
          <w:noProof/>
        </w:rPr>
        <w:t>accord-cadre</w:t>
      </w:r>
      <w:r>
        <w:rPr>
          <w:noProof/>
        </w:rPr>
        <w:t xml:space="preserve"> </w:t>
      </w:r>
      <w:r>
        <w:rPr>
          <w:noProof/>
        </w:rPr>
        <w:t xml:space="preserve">du candidat, ainsi que les </w:t>
      </w:r>
      <w:r>
        <w:rPr>
          <w:noProof/>
        </w:rPr>
        <w:t xml:space="preserve">copies des </w:t>
      </w:r>
      <w:r>
        <w:rPr>
          <w:noProof/>
        </w:rPr>
        <w:t xml:space="preserve">diplômes </w:t>
      </w:r>
      <w:r>
        <w:rPr>
          <w:noProof/>
        </w:rPr>
        <w:t>des personnes qui seront dédiées à l’exécution des prestations objet du présent accord-cadre</w:t>
      </w:r>
      <w:r>
        <w:rPr>
          <w:noProof/>
        </w:rPr>
        <w:t>. A cet égard, s</w:t>
      </w:r>
      <w:r>
        <w:rPr>
          <w:noProof/>
        </w:rPr>
        <w:t>eraient acceptées d'autres qualifications de nature équivalente dont la valeur sera justifiée par le candidat.</w:t>
      </w:r>
    </w:p>
    <w:p w14:paraId="1F45BD00" w14:textId="77777777">
      <w:pPr>
        <w:rPr>
          <w:noProof/>
        </w:rPr>
      </w:pPr>
    </w:p>
    <w:p w14:paraId="5F397EC0" w14:textId="78A77876">
      <w:r>
        <w:t>S'ils s'appuient, pour présenter leur candidature</w:t>
      </w:r>
      <w:r>
        <w:t xml:space="preserve"> et leur offre</w:t>
      </w:r>
      <w:r>
        <w:t>, sur les capacités professionnelles, techniques et financières d'autres opérateurs économiques, les candidats</w:t>
      </w:r>
      <w:r>
        <w:t>/soumissionnaires</w:t>
      </w:r>
      <w:r>
        <w:t xml:space="preserve"> doivent fournir les mêmes documents concernant cet opérateur économique que ceux qui leur sont exigés par l'acheteur public. Le candidat</w:t>
      </w:r>
      <w:r>
        <w:t>/soumissionnaire</w:t>
      </w:r>
      <w:r>
        <w:t xml:space="preserve"> doi</w:t>
      </w:r>
      <w:r>
        <w:t>t également apporter la preuve que chacun de ces op</w:t>
      </w:r>
      <w:r>
        <w:t>ér</w:t>
      </w:r>
      <w:r>
        <w:t>ateurs économiques mettra à sa</w:t>
      </w:r>
      <w:r>
        <w:t xml:space="preserve"> disposition les moyens nécessaires, pendant toute la durée d'exécution </w:t>
      </w:r>
      <w:r>
        <w:t>de l’accord-cadre</w:t>
      </w:r>
      <w:r>
        <w:t xml:space="preserve">. </w:t>
      </w:r>
      <w:r>
        <w:t>À</w:t>
      </w:r>
      <w:r>
        <w:t xml:space="preserve"> cet égard, l</w:t>
      </w:r>
      <w:r>
        <w:t>a v</w:t>
      </w:r>
      <w:r>
        <w:t>ille d’Aubervilliers se réserve le droit de demander au(x) candidat(s) et/ou soumissionnaire(s) concerné(s) de lui fournir tout élément probant qui permettra d’apprécier la réalité et l’effectivité de cette coopération.</w:t>
      </w:r>
    </w:p>
    <w:p w14:paraId="24DDEF76" w14:textId="6B91C048">
      <w:pPr>
        <w:rPr>
          <w:b/>
        </w:rPr>
      </w:pPr>
      <w:r>
        <w:rPr>
          <w:b/>
        </w:rPr>
        <w:t xml:space="preserve">Documents à produire électroniquement dans tous les cas au stade de l'attribution </w:t>
      </w:r>
      <w:r>
        <w:rPr>
          <w:b/>
        </w:rPr>
        <w:t>de l’accord-cadre</w:t>
      </w:r>
      <w:r>
        <w:rPr>
          <w:b/>
        </w:rPr>
        <w:t xml:space="preserve"> :</w:t>
      </w:r>
    </w:p>
    <w:p w14:paraId="3BC0648A" w14:textId="48AEFFB3">
      <w:pPr>
        <w:rPr>
          <w:b/>
        </w:rPr>
      </w:pPr>
    </w:p>
    <w:p w14:paraId="01B400F8" w14:textId="493E7083">
      <w:r>
        <w:t>L</w:t>
      </w:r>
      <w:r>
        <w:t>e candidat auquel il es</w:t>
      </w:r>
      <w:r>
        <w:t xml:space="preserve">t envisagé d'attribuer </w:t>
      </w:r>
      <w:r>
        <w:t>l’accord-cadre</w:t>
      </w:r>
      <w:r>
        <w:t xml:space="preserve"> produira</w:t>
      </w:r>
      <w:r>
        <w:t>,</w:t>
      </w:r>
      <w:r>
        <w:t xml:space="preserve"> </w:t>
      </w:r>
      <w:r>
        <w:t>sept (7) jours calendaire</w:t>
      </w:r>
      <w:r>
        <w:t>s</w:t>
      </w:r>
      <w:r>
        <w:t xml:space="preserve"> avant la notification </w:t>
      </w:r>
      <w:r>
        <w:t>de l’accord-cadre</w:t>
      </w:r>
      <w:r>
        <w:t>,</w:t>
      </w:r>
      <w:r>
        <w:t xml:space="preserve"> et tous les six (6) mois apr</w:t>
      </w:r>
      <w:r>
        <w:t>ès la notification de celui-ci</w:t>
      </w:r>
      <w:r>
        <w:t xml:space="preserve">, </w:t>
      </w:r>
      <w:r>
        <w:t>dans les quinze (15) jours qui précèdent l’expiration d’un docu</w:t>
      </w:r>
      <w:r>
        <w:t>ment</w:t>
      </w:r>
      <w:r>
        <w:t xml:space="preserve">, </w:t>
      </w:r>
      <w:r>
        <w:t xml:space="preserve">sans aucune formalité de la part de la ville d’Aubervilliers, les documents suivants : </w:t>
      </w:r>
    </w:p>
    <w:p w14:paraId="7195CCB5" w14:textId="77777777"/>
    <w:p w14:paraId="2770B914" w14:textId="77777777">
      <w:pPr>
        <w:pStyle w:val="Paragraphedeliste"/>
        <w:numPr>
          <w:ilvl w:val="0"/>
          <w:numId w:val="11"/>
        </w:numPr>
        <w:ind w:left="641" w:hanging="357"/>
        <w:rPr>
          <w:i/>
        </w:rPr>
      </w:pPr>
      <w:bookmarkStart w:id="33" w:name="_Toc108008345"/>
      <w:r>
        <w:t xml:space="preserve">Une attestation de fourniture des déclarations sociales et de paiement des cotisations et contributions de sécurité sociale, prévue à l’article L. 243-15 du Code de sécurité sociale, émanant de l'organisme de protection sociale chargé du recouvrement des cotisations et des contributions datant de moins de 6 mois </w:t>
      </w:r>
      <w:r>
        <w:rPr>
          <w:i/>
        </w:rPr>
        <w:t xml:space="preserve">(articles D 8222-5-1° du Code du travail et D. 243-15 du Code de sécurité sociale). </w:t>
      </w:r>
      <w:r>
        <w:t>Le pouvoir adjudicateur s’assurera de l’authenticité de cette attestation, auprès de l’organisme de recouvrement des cotisations de sécurité sociale compétent.</w:t>
      </w:r>
    </w:p>
    <w:p w14:paraId="2A79045E" w14:textId="77777777">
      <w:pPr>
        <w:pStyle w:val="Paragraphedeliste"/>
        <w:ind w:left="641"/>
        <w:rPr>
          <w:i/>
        </w:rPr>
      </w:pPr>
    </w:p>
    <w:p w14:paraId="7FA9444A" w14:textId="77777777">
      <w:pPr>
        <w:pStyle w:val="Paragraphedeliste"/>
        <w:numPr>
          <w:ilvl w:val="0"/>
          <w:numId w:val="11"/>
        </w:numPr>
        <w:ind w:left="641" w:hanging="357"/>
        <w:rPr>
          <w:i/>
        </w:rPr>
      </w:pPr>
      <w:r>
        <w:rPr>
          <w:bCs/>
        </w:rPr>
        <w:t xml:space="preserve">Lorsque l’immatriculation du cocontractant au registre du commerce et des sociétés ou au registre national des entreprises en tant qu’entreprise du secteur des métiers de l’artisanat est obligatoire ou lorsqu’il s’agit d’une profession réglementée, l’un des documents suivants </w:t>
      </w:r>
      <w:r>
        <w:rPr>
          <w:bCs/>
          <w:i/>
        </w:rPr>
        <w:t>(article D 8222-5-2° du Code du travail)</w:t>
      </w:r>
      <w:r>
        <w:rPr>
          <w:bCs/>
        </w:rPr>
        <w:t> :</w:t>
      </w:r>
    </w:p>
    <w:p w14:paraId="1BADC94A" w14:textId="77777777">
      <w:pPr>
        <w:rPr>
          <w:bCs/>
        </w:rPr>
      </w:pPr>
    </w:p>
    <w:p w14:paraId="750FDFD7" w14:textId="77777777">
      <w:pPr>
        <w:pStyle w:val="Paragraphedeliste"/>
        <w:numPr>
          <w:ilvl w:val="0"/>
          <w:numId w:val="35"/>
        </w:numPr>
        <w:rPr>
          <w:rFonts w:cs="Times New Roman" w:ascii="Times New Roman" w:hAnsi="Times New Roman"/>
          <w:bCs/>
        </w:rPr>
      </w:pPr>
      <w:r>
        <w:rPr>
          <w:rFonts w:cs="Times New Roman" w:ascii="Times New Roman" w:hAnsi="Times New Roman"/>
          <w:bCs/>
        </w:rPr>
        <w:t>Un extrait d’inscription au registre du commerce et des sociétés (K ou Kbis) ;</w:t>
      </w:r>
    </w:p>
    <w:p w14:paraId="7D0B31A3" w14:textId="77777777">
      <w:pPr>
        <w:rPr>
          <w:rFonts w:cs="Times New Roman" w:ascii="Times New Roman" w:hAnsi="Times New Roman"/>
          <w:bCs/>
        </w:rPr>
      </w:pPr>
    </w:p>
    <w:p w14:paraId="317C4835" w14:textId="77777777">
      <w:pPr>
        <w:pStyle w:val="Paragraphedeliste"/>
        <w:numPr>
          <w:ilvl w:val="0"/>
          <w:numId w:val="35"/>
        </w:numPr>
        <w:rPr>
          <w:rFonts w:cs="Times New Roman" w:ascii="Times New Roman" w:hAnsi="Times New Roman"/>
          <w:bCs/>
        </w:rPr>
      </w:pPr>
      <w:r>
        <w:rPr>
          <w:rFonts w:cs="Times New Roman" w:ascii="Times New Roman" w:hAnsi="Times New Roman"/>
          <w:bCs/>
        </w:rPr>
        <w:t>Un extrait d’immatriculation au Registre national des entreprises en tant qu’entreprise du secteur des métiers de l’artisanat ;</w:t>
      </w:r>
    </w:p>
    <w:p w14:paraId="07EAD4D3" w14:textId="77777777">
      <w:pPr>
        <w:rPr>
          <w:rFonts w:cs="Times New Roman" w:ascii="Times New Roman" w:hAnsi="Times New Roman"/>
          <w:bCs/>
        </w:rPr>
      </w:pPr>
    </w:p>
    <w:p w14:paraId="56F365A3" w14:textId="77777777">
      <w:pPr>
        <w:pStyle w:val="Paragraphedeliste"/>
        <w:numPr>
          <w:ilvl w:val="0"/>
          <w:numId w:val="35"/>
        </w:numPr>
        <w:rPr>
          <w:rFonts w:cs="Times New Roman" w:ascii="Times New Roman" w:hAnsi="Times New Roman"/>
          <w:bCs/>
        </w:rPr>
      </w:pPr>
      <w:r>
        <w:rPr>
          <w:rFonts w:cs="Times New Roman" w:ascii="Times New Roman" w:hAnsi="Times New Roman"/>
          <w:bCs/>
        </w:rPr>
        <w:t>Un devis, un document publicitaire ou une correspondance professionnelle, à conditions qu’y soient mentionnés le nom ou la dénomination sociale, l’adresse complète et le numéro d’immatriculation au registre du commerce et des sociétés ou au registre national des entreprises en tant qu’entreprise du secteur des métiers et de l’artisanat ou à une liste ou un tableau d’un ordre professionnel, ou la référence de l’agrément délivré par l’autorité compétente.</w:t>
      </w:r>
    </w:p>
    <w:p w14:paraId="528F06E4" w14:textId="77777777">
      <w:pPr>
        <w:rPr>
          <w:rFonts w:cs="Times New Roman" w:ascii="Times New Roman" w:hAnsi="Times New Roman"/>
          <w:bCs/>
        </w:rPr>
      </w:pPr>
    </w:p>
    <w:p w14:paraId="54082926" w14:textId="77777777">
      <w:pPr>
        <w:pStyle w:val="Paragraphedeliste"/>
        <w:numPr>
          <w:ilvl w:val="0"/>
          <w:numId w:val="36"/>
        </w:numPr>
        <w:rPr>
          <w:bCs/>
        </w:rPr>
      </w:pPr>
      <w:r>
        <w:rPr>
          <w:rFonts w:cs="Times New Roman" w:ascii="Times New Roman" w:hAnsi="Times New Roman"/>
          <w:bCs/>
        </w:rPr>
        <w:t xml:space="preserve">L’accusé de réception électronique mentionné à l’article R. 123-6 du Code de commerce, émanant du greffier du tribunal de commerce compétent ou de la chambre des métiers et de l’artisanat </w:t>
      </w:r>
    </w:p>
    <w:p w14:paraId="581F8C37" w14:textId="77777777">
      <w:pPr>
        <w:ind w:left="720"/>
        <w:rPr>
          <w:bCs/>
        </w:rPr>
      </w:pPr>
    </w:p>
    <w:p w14:paraId="4D530C05" w14:textId="3BCF26E7">
      <w:pPr>
        <w:rPr>
          <w:noProof/>
        </w:rPr>
      </w:pPr>
      <w:r>
        <w:rPr>
          <w:noProof/>
        </w:rPr>
        <w:t xml:space="preserve">Dans le cas où le candidat pressenti ne remettra pas les documents dans le délai imparti son offre sera éliminée. Dans cette hypothèse, </w:t>
      </w:r>
      <w:r>
        <w:rPr>
          <w:noProof/>
        </w:rPr>
        <w:t>l’accord-cadre</w:t>
      </w:r>
      <w:r>
        <w:rPr>
          <w:noProof/>
        </w:rPr>
        <w:t xml:space="preserve"> sera attribué au candidat ayant présenté l’offre économiquement la plus avantageuse suivante, sous réserve que ce dernier produise les certificats et attestations requises, et ainsi de suite, si ce dernier ne produit</w:t>
      </w:r>
      <w:r>
        <w:rPr>
          <w:noProof/>
        </w:rPr>
        <w:t xml:space="preserve"> pas</w:t>
      </w:r>
      <w:r>
        <w:rPr>
          <w:noProof/>
        </w:rPr>
        <w:t xml:space="preserve"> les documents demandés.</w:t>
      </w:r>
    </w:p>
    <w:p w14:paraId="06010731" w14:textId="77777777">
      <w:pPr>
        <w:rPr>
          <w:noProof/>
        </w:rPr>
      </w:pPr>
    </w:p>
    <w:p w14:paraId="707DA170" w14:textId="77777777">
      <w:pPr>
        <w:rPr>
          <w:noProof/>
        </w:rPr>
      </w:pPr>
      <w:r>
        <w:rPr>
          <w:noProof/>
        </w:rPr>
        <w:t>En cas de co-traitance, chaque co-traitant doit transmettre les mêmes documents mentionnés ci-dessus, à l’exception du DC1 rempli par le mandataire et signé par chacun des co-traitant(s) du groupement en cause.</w:t>
      </w:r>
    </w:p>
    <w:p w14:paraId="1EA74033" w14:textId="77777777">
      <w:pPr>
        <w:rPr>
          <w:noProof/>
        </w:rPr>
      </w:pPr>
    </w:p>
    <w:p w14:paraId="41FB3112" w14:textId="58F3214E">
      <w:pPr>
        <w:rPr>
          <w:noProof/>
        </w:rPr>
      </w:pPr>
      <w:r>
        <w:rPr>
          <w:noProof/>
        </w:rPr>
        <w:t>En outre, en cas d’appartenance à un groupe d’entreprises, le candidat est invité à préciser le nom de celui-ci et s’il utilise les moyens de ce dernier.</w:t>
      </w:r>
    </w:p>
    <w:p w14:paraId="02518C46" w14:textId="77777777">
      <w:pPr>
        <w:rPr>
          <w:noProof/>
        </w:rPr>
      </w:pPr>
    </w:p>
    <w:p w14:paraId="647D6698" w14:textId="059CB3CB">
      <w:pPr>
        <w:rPr>
          <w:noProof/>
        </w:rPr>
      </w:pPr>
      <w:r>
        <w:rPr>
          <w:noProof/>
        </w:rPr>
        <w:t>Les sous-traitants sont soumis aux mêmes obligations précitées, en prenant en considération la date d’établissement de l’acte de sous-traitance (DC4) et de la durée d’exécution de la prestation sous-traitée en cause.</w:t>
      </w:r>
    </w:p>
    <w:p w14:paraId="3EA2257F" w14:textId="1D04A34E">
      <w:pPr>
        <w:pStyle w:val="Titre3"/>
        <w:keepNext/>
        <w:rPr/>
      </w:pPr>
      <w:bookmarkStart w:id="34" w:name="_Toc219905980"/>
      <w:r>
        <w:rPr/>
        <w:t>4.</w:t>
      </w:r>
      <w:r>
        <w:rPr/>
        <w:t xml:space="preserve">1.1. Possibilité d’utiliser le Document Unique de Marché Européen</w:t>
      </w:r>
      <w:r>
        <w:rPr/>
        <w:t/>
      </w:r>
      <w:r>
        <w:rPr/>
        <w:t xml:space="preserve"/>
      </w:r>
      <w:bookmarkEnd w:id="33"/>
      <w:bookmarkEnd w:id="34"/>
    </w:p>
    <w:p w14:paraId="6D8559F1" w14:textId="673B86A0">
      <w:r>
        <w:t xml:space="preserve">Dans le cadre de la présente procédure de mise en concurrence, </w:t>
      </w:r>
      <w:r>
        <w:t>la ville d’Aubervilliers</w:t>
      </w:r>
      <w:r>
        <w:t xml:space="preserve"> accepte que le candidat présente sa candidature sur la base d’un Document Unique de </w:t>
      </w:r>
      <w:r>
        <w:t>Marché Européen électronique (</w:t>
      </w:r>
      <w:r>
        <w:t>DUME), sous format papier ou électronique</w:t>
      </w:r>
      <w:r>
        <w:t xml:space="preserve"> (e-DUME),</w:t>
      </w:r>
      <w:r>
        <w:t xml:space="preserve"> en fonction de la forme du dépôt de la candidature et de l’offre, rédigé en français et établi conformément au modèle fixé par le règlement de la Commission européenne établissant le formulaire type pour le document unique de marché européen susvisé</w:t>
      </w:r>
      <w:r>
        <w:t/>
      </w:r>
      <w:r>
        <w:t xml:space="preserve">, en lieu et place des documents mentionnés à l’article R. 2143-3 du Code de la commande publique. </w:t>
      </w:r>
    </w:p>
    <w:p w14:paraId="2FD86677" w14:textId="77777777"/>
    <w:p w14:paraId="24F34881" w14:textId="00039526">
      <w:pPr>
        <w:rPr>
          <w:rFonts w:eastAsia="Times New Roman" w:cs="Times New Roman" w:ascii="Times New Roman" w:hAnsi="Times New Roman"/>
          <w:bCs/>
          <w:noProof/>
          <w:szCs w:val="24"/>
          <w:u w:val="single"/>
        </w:rPr>
      </w:pPr>
      <w:r>
        <w:rPr>
          <w:noProof/>
        </w:rPr>
        <w:t xml:space="preserve">A cette fin, les candidats peuvent se rendre à l’adresse suivante : </w:t>
      </w:r>
      <w:hyperlink r:id="rId10" w:history="1">
        <w:r>
          <w:rPr>
            <w:rStyle w:val="Lienhypertexte"/>
            <w:rFonts w:eastAsia="Times New Roman" w:cs="Times New Roman" w:ascii="Times New Roman" w:hAnsi="Times New Roman"/>
            <w:bCs/>
            <w:noProof/>
            <w:color w:val="auto"/>
            <w:szCs w:val="24"/>
          </w:rPr>
          <w:t>https://dume.chorus-pro.gouv.fr/</w:t>
        </w:r>
      </w:hyperlink>
    </w:p>
    <w:p w14:paraId="51844A02" w14:textId="6A0A2154">
      <w:pPr>
        <w:pStyle w:val="Titre3"/>
        <w:keepNext/>
        <w:rPr/>
      </w:pPr>
      <w:bookmarkStart w:id="35" w:name="_Toc108008346"/>
      <w:bookmarkStart w:id="36" w:name="_Toc219905981"/>
      <w:r>
        <w:rPr/>
        <w:t>4.</w:t>
      </w:r>
      <w:r>
        <w:rPr/>
        <w:t xml:space="preserve">1.2. </w:t>
      </w:r>
      <w:r>
        <w:rPr>
          <w:noProof/>
        </w:rPr>
        <w:t xml:space="preserve">Candidats soumissionnant pour la première fois à un marché public pour la</w:t>
      </w:r>
      <w:r>
        <w:rPr>
          <w:noProof/>
        </w:rPr>
        <w:t/>
      </w:r>
      <w:r>
        <w:rPr>
          <w:noProof/>
        </w:rPr>
        <w:t xml:space="preserve"> ville d’Aubervilliers</w:t>
      </w:r>
      <w:bookmarkEnd w:id="35"/>
      <w:bookmarkEnd w:id="36"/>
    </w:p>
    <w:p w14:paraId="5B17FD06" w14:textId="7BE6E5F9">
      <w:pPr>
        <w:rPr>
          <w:noProof/>
        </w:rPr>
      </w:pPr>
      <w:r>
        <w:rPr>
          <w:noProof/>
        </w:rPr>
        <w:t xml:space="preserve">Les candidats doivent impérativement fournir les formulaires DC1 et DC2 ou e-DUME. Les candidats ont la possibilité d’indiquer dans leur dossier la base de données ou l’espace de stockage numérique </w:t>
      </w:r>
      <w:r>
        <w:rPr>
          <w:b/>
          <w:noProof/>
        </w:rPr>
        <w:t>gratuit</w:t>
      </w:r>
      <w:r>
        <w:rPr>
          <w:noProof/>
        </w:rPr>
        <w:t xml:space="preserve"> dans lequel </w:t>
      </w:r>
      <w:r>
        <w:rPr>
          <w:noProof/>
        </w:rPr>
        <w:t>la ville d’Aubervilliers</w:t>
      </w:r>
      <w:r>
        <w:rPr>
          <w:noProof/>
        </w:rPr>
        <w:t xml:space="preserve"> pourra obtenir les documents et renseignem</w:t>
      </w:r>
      <w:r>
        <w:rPr>
          <w:noProof/>
        </w:rPr>
        <w:t>ents susmentionnés</w:t>
      </w:r>
      <w:r>
        <w:rPr>
          <w:noProof/>
        </w:rPr>
        <w:t xml:space="preserve">. </w:t>
      </w:r>
      <w:r>
        <w:rPr>
          <w:noProof/>
        </w:rPr>
        <w:t>Le cas échéant</w:t>
      </w:r>
      <w:r>
        <w:rPr>
          <w:noProof/>
        </w:rPr>
        <w:t>, il est demandé aux candidats de préciser dans un document spécifique les informations et les modalités d’accès à ces documents.</w:t>
      </w:r>
      <w:r>
        <w:rPr>
          <w:noProof/>
        </w:rPr>
        <w:t xml:space="preserve"> Cet accès doit en outre se faire de manière</w:t>
      </w:r>
      <w:r>
        <w:rPr>
          <w:noProof/>
        </w:rPr>
        <w:t xml:space="preserve"> gratuite, et doit garantir la </w:t>
      </w:r>
      <w:r>
        <w:rPr>
          <w:noProof/>
        </w:rPr>
        <w:t xml:space="preserve">sécurité et </w:t>
      </w:r>
      <w:r>
        <w:rPr>
          <w:noProof/>
        </w:rPr>
        <w:t>l’</w:t>
      </w:r>
      <w:r>
        <w:rPr>
          <w:noProof/>
        </w:rPr>
        <w:t>intégralité des documents qui y sont déposés.</w:t>
      </w:r>
    </w:p>
    <w:p w14:paraId="7CD9A08E" w14:textId="19F4D7EF">
      <w:pPr>
        <w:pStyle w:val="Titre3"/>
        <w:keepNext/>
        <w:rPr/>
      </w:pPr>
      <w:bookmarkStart w:id="37" w:name="_Toc108008347"/>
      <w:bookmarkStart w:id="38" w:name="_Toc219905982"/>
      <w:r>
        <w:rPr/>
        <w:t>4.</w:t>
      </w:r>
      <w:r>
        <w:rPr/>
        <w:t xml:space="preserve">1.3. </w:t>
      </w:r>
      <w:r>
        <w:rPr>
          <w:noProof/>
        </w:rPr>
        <w:t xml:space="preserve">Candidats ayant déjà soumissionné à un marché public pour la ville</w:t>
      </w:r>
      <w:r>
        <w:rPr>
          <w:noProof/>
        </w:rPr>
        <w:t/>
      </w:r>
      <w:r>
        <w:rPr>
          <w:noProof/>
        </w:rPr>
        <w:t xml:space="preserve"> d’Aubervilliers</w:t>
      </w:r>
      <w:bookmarkEnd w:id="37"/>
      <w:bookmarkEnd w:id="38"/>
    </w:p>
    <w:p w14:paraId="43F16F35" w14:textId="7C3FBF54">
      <w:pPr>
        <w:rPr>
          <w:noProof/>
        </w:rPr>
      </w:pPr>
      <w:r>
        <w:rPr>
          <w:noProof/>
        </w:rPr>
        <w:t>En application du</w:t>
      </w:r>
      <w:r>
        <w:rPr>
          <w:noProof/>
        </w:rPr>
        <w:t xml:space="preserve"> principe </w:t>
      </w:r>
      <w:r>
        <w:rPr>
          <w:noProof/>
        </w:rPr>
        <w:t xml:space="preserve">« dites le nous une fois », les candidats ayant déjà soumissionné à un marché public / accord-cadre pour la ville</w:t>
      </w:r>
      <w:r>
        <w:rPr>
          <w:noProof/>
        </w:rPr>
        <w:t/>
      </w:r>
      <w:r>
        <w:rPr>
          <w:noProof/>
        </w:rPr>
        <w:t xml:space="preserve"/>
      </w:r>
      <w:r>
        <w:rPr>
          <w:noProof/>
        </w:rPr>
        <w:t xml:space="preserve"/>
      </w:r>
      <w:r>
        <w:rPr>
          <w:noProof/>
        </w:rPr>
        <w:t/>
      </w:r>
      <w:r>
        <w:rPr>
          <w:noProof/>
        </w:rPr>
        <w:t xml:space="preserve"> </w:t>
      </w:r>
      <w:r>
        <w:rPr>
          <w:noProof/>
        </w:rPr>
        <w:t xml:space="preserve">d’Aubervilliers </w:t>
      </w:r>
      <w:r>
        <w:rPr>
          <w:noProof/>
        </w:rPr>
        <w:t>sont dispensés de fournir tous les documen</w:t>
      </w:r>
      <w:r>
        <w:rPr>
          <w:noProof/>
        </w:rPr>
        <w:t>ts et renseignements sus</w:t>
      </w:r>
      <w:r>
        <w:rPr>
          <w:noProof/>
        </w:rPr>
        <w:t>menti</w:t>
      </w:r>
      <w:r>
        <w:rPr>
          <w:noProof/>
        </w:rPr>
        <w:t>onnés relatifs à la ca</w:t>
      </w:r>
      <w:r>
        <w:rPr>
          <w:noProof/>
        </w:rPr>
        <w:t xml:space="preserve">ndidature, </w:t>
      </w:r>
      <w:r>
        <w:rPr>
          <w:noProof/>
        </w:rPr>
        <w:t>dans la mesure où ces do</w:t>
      </w:r>
      <w:r>
        <w:rPr>
          <w:noProof/>
        </w:rPr>
        <w:t>c</w:t>
      </w:r>
      <w:r>
        <w:rPr>
          <w:noProof/>
        </w:rPr>
        <w:t>u</w:t>
      </w:r>
      <w:r>
        <w:rPr>
          <w:noProof/>
        </w:rPr>
        <w:t xml:space="preserve">ments seront toujours </w:t>
      </w:r>
      <w:r>
        <w:rPr>
          <w:noProof/>
        </w:rPr>
        <w:t>valables</w:t>
      </w:r>
      <w:r>
        <w:rPr>
          <w:noProof/>
        </w:rPr>
        <w:t xml:space="preserve"> durant la toute la durée de la procédure de passation</w:t>
      </w:r>
      <w:r>
        <w:rPr>
          <w:noProof/>
        </w:rPr>
        <w:t>.</w:t>
      </w:r>
    </w:p>
    <w:p w14:paraId="37B05B40" w14:textId="77777777">
      <w:pPr>
        <w:rPr>
          <w:noProof/>
        </w:rPr>
      </w:pPr>
    </w:p>
    <w:p w14:paraId="20441567" w14:textId="49451D13">
      <w:pPr>
        <w:rPr>
          <w:noProof/>
        </w:rPr>
      </w:pPr>
      <w:r>
        <w:rPr>
          <w:noProof/>
        </w:rPr>
        <w:t xml:space="preserve">Néanmoins, les candidats ne sont pas exonérés de fournir les formulaires DC1 et DC2 ou e-DUME. </w:t>
      </w:r>
    </w:p>
    <w:p w14:paraId="7B794C86" w14:textId="77777777">
      <w:pPr>
        <w:rPr>
          <w:noProof/>
        </w:rPr>
      </w:pPr>
    </w:p>
    <w:p w14:paraId="764FAC8F" w14:textId="465671C5">
      <w:pPr>
        <w:rPr>
          <w:noProof/>
        </w:rPr>
      </w:pPr>
      <w:r>
        <w:rPr>
          <w:noProof/>
        </w:rPr>
        <w:t xml:space="preserve">Afin de permettre à la ville d’Aubervilliers de retrouver les dits documents fournis à l’occasion d’un ou plusieurs précédent(s) marchés/accord-cadre(s)</w:t>
      </w:r>
      <w:r>
        <w:rPr>
          <w:noProof/>
        </w:rPr>
        <w:t/>
      </w:r>
      <w:r>
        <w:rPr>
          <w:noProof/>
        </w:rPr>
        <w:t/>
      </w:r>
      <w:r>
        <w:rPr>
          <w:noProof/>
        </w:rPr>
        <w:t/>
      </w:r>
      <w:r>
        <w:rPr>
          <w:noProof/>
        </w:rPr>
        <w:t xml:space="preserve">, les candidats doivent indiquer dans un document spécifique : </w:t>
      </w:r>
    </w:p>
    <w:p w14:paraId="699BD159" w14:textId="77777777">
      <w:pPr>
        <w:rPr>
          <w:noProof/>
        </w:rPr>
      </w:pPr>
    </w:p>
    <w:p w14:paraId="19BB36A6" w14:textId="7616CB5C">
      <w:pPr>
        <w:pStyle w:val="Paragraphedeliste"/>
        <w:numPr>
          <w:ilvl w:val="1"/>
          <w:numId w:val="4"/>
        </w:numPr>
        <w:rPr>
          <w:noProof/>
        </w:rPr>
      </w:pPr>
      <w:r>
        <w:rPr>
          <w:noProof/>
        </w:rPr>
        <w:t xml:space="preserve">L’objet et la référence du ou des dit(s) marché(s)/accord-cadre(s) en</w:t>
      </w:r>
      <w:r>
        <w:rPr>
          <w:noProof/>
        </w:rPr>
        <w:t/>
      </w:r>
      <w:r>
        <w:rPr>
          <w:noProof/>
        </w:rPr>
        <w:t/>
      </w:r>
      <w:r>
        <w:rPr>
          <w:noProof/>
        </w:rPr>
        <w:t/>
      </w:r>
      <w:r>
        <w:rPr>
          <w:noProof/>
        </w:rPr>
        <w:t xml:space="preserve"> précisant le ou les année(s) concernée(s)</w:t>
      </w:r>
    </w:p>
    <w:p w14:paraId="3E2C46B0" w14:textId="77777777">
      <w:pPr>
        <w:rPr>
          <w:noProof/>
        </w:rPr>
      </w:pPr>
      <w:r>
        <w:rPr>
          <w:noProof/>
        </w:rPr>
        <w:t>et/ou</w:t>
      </w:r>
    </w:p>
    <w:p w14:paraId="6EC589F7" w14:textId="4B1C7493">
      <w:pPr>
        <w:pStyle w:val="Paragraphedeliste"/>
        <w:numPr>
          <w:ilvl w:val="1"/>
          <w:numId w:val="4"/>
        </w:numPr>
        <w:rPr>
          <w:noProof/>
        </w:rPr>
      </w:pPr>
      <w:r>
        <w:rPr>
          <w:noProof/>
        </w:rPr>
        <w:t>Le site internet, la base de données ou l’espace de stockage numérique gratuit au sein duquel sont disponibles les documents.</w:t>
      </w:r>
    </w:p>
    <w:p w14:paraId="1DB11893" w14:textId="77777777">
      <w:pPr>
        <w:rPr>
          <w:noProof/>
        </w:rPr>
      </w:pPr>
    </w:p>
    <w:p w14:paraId="2B4AB6F4" w14:textId="5E8F81D5">
      <w:pPr>
        <w:rPr>
          <w:noProof/>
        </w:rPr>
      </w:pPr>
      <w:r>
        <w:rPr>
          <w:b/>
          <w:noProof/>
          <w:u w:val="single"/>
        </w:rPr>
        <w:t xml:space="preserve">Important </w:t>
      </w:r>
      <w:r>
        <w:rPr>
          <w:noProof/>
          <w:u w:val="single"/>
        </w:rPr>
        <w:t>:</w:t>
      </w:r>
      <w:r>
        <w:rPr>
          <w:noProof/>
        </w:rPr>
        <w:t xml:space="preserve"> il appartient aux candidats de vérifier que les dits documents précédemment fournis demeurent valables, et qu’ils ne contiennent aucun virus ou programme malveillant, à défaut de quoi la ville d’Aubervilliers sera obligée de les écarter.</w:t>
      </w:r>
      <w:r>
        <w:rPr>
          <w:noProof/>
        </w:rPr>
        <w:t/>
      </w:r>
      <w:r>
        <w:rPr>
          <w:noProof/>
        </w:rPr>
        <w:t xml:space="preserve">  </w:t>
      </w:r>
    </w:p>
    <w:p w14:paraId="6C59699B" w14:textId="77777777">
      <w:pPr>
        <w:rPr>
          <w:noProof/>
        </w:rPr>
      </w:pPr>
    </w:p>
    <w:p w14:paraId="435619A5" w14:textId="7D4734B3">
      <w:pPr>
        <w:rPr>
          <w:noProof/>
        </w:rPr>
      </w:pPr>
      <w:r>
        <w:rPr>
          <w:noProof/>
        </w:rPr>
        <w:t>Les formulaires et autres déclarations types sont consultables et téléchargeables</w:t>
      </w:r>
      <w:r>
        <w:rPr>
          <w:noProof/>
        </w:rPr>
        <w:t xml:space="preserve">, s’ils ne sont pas joints dans le DCE, </w:t>
      </w:r>
      <w:r>
        <w:rPr>
          <w:noProof/>
        </w:rPr>
        <w:t>sur le site du Ministère de l’Economie, de l’Industrie et de l’Emploi à partir du lien :</w:t>
      </w:r>
      <w:r>
        <w:rPr>
          <w:noProof/>
          <w:u w:val="single"/>
        </w:rPr>
        <w:t xml:space="preserve"> </w:t>
      </w:r>
      <w:hyperlink r:id="rId11" w:history="1">
        <w:r>
          <w:rPr>
            <w:rFonts w:eastAsia="Times New Roman" w:cs="Times New Roman" w:ascii="Times New Roman" w:hAnsi="Times New Roman"/>
            <w:bCs/>
            <w:noProof/>
            <w:szCs w:val="24"/>
            <w:u w:val="single"/>
          </w:rPr>
          <w:t>http://www.economie.gouv.fr/daj/formulaires</w:t>
        </w:r>
      </w:hyperlink>
      <w:bookmarkEnd w:id="27"/>
    </w:p>
    <w:p w14:paraId="21E86FE0" w14:textId="3C1487C0">
      <w:pPr>
        <w:pStyle w:val="Titre2"/>
        <w:keepNext/>
        <w:rPr/>
      </w:pPr>
      <w:bookmarkStart w:id="39" w:name="_Toc219905983"/>
      <w:bookmarkStart w:id="40" w:name="_Toc108008349"/>
      <w:bookmarkStart w:id="41" w:name="_Toc130036878"/>
      <w:r>
        <w:rPr/>
        <w:t>4.2. Éléments</w:t>
      </w:r>
      <w:r>
        <w:rPr/>
        <w:t xml:space="preserve"> de l’offre</w:t>
      </w:r>
      <w:bookmarkEnd w:id="39"/>
    </w:p>
    <w:p w14:paraId="6D1895D3" w14:textId="77777777">
      <w:pPr>
        <w:rPr>
          <w:noProof/>
        </w:rPr>
      </w:pPr>
      <w:r>
        <w:rPr>
          <w:noProof/>
        </w:rPr>
        <w:t xml:space="preserve">L’offre devra obligatoirement comporter les documents suivants : </w:t>
      </w:r>
    </w:p>
    <w:p w14:paraId="6338BB5B" w14:textId="77777777">
      <w:pPr>
        <w:rPr>
          <w:noProof/>
        </w:rPr>
      </w:pPr>
    </w:p>
    <w:p w14:paraId="35EEED41" w14:textId="5EC8D742">
      <w:pPr>
        <w:pStyle w:val="Paragraphedeliste"/>
        <w:numPr>
          <w:ilvl w:val="0"/>
          <w:numId w:val="12"/>
        </w:numPr>
        <w:rPr>
          <w:noProof/>
        </w:rPr>
      </w:pPr>
      <w:r>
        <w:rPr>
          <w:b/>
          <w:noProof/>
        </w:rPr>
        <w:t>L’Acte d’E</w:t>
      </w:r>
      <w:r>
        <w:rPr>
          <w:b/>
          <w:noProof/>
        </w:rPr>
        <w:t>ngagement (A.E.)</w:t>
      </w:r>
      <w:r>
        <w:rPr>
          <w:noProof/>
        </w:rPr>
        <w:t xml:space="preserve"> dûment complété, </w:t>
      </w:r>
      <w:r>
        <w:rPr>
          <w:noProof/>
        </w:rPr>
        <w:t>daté et, éventuellement,</w:t>
      </w:r>
      <w:r>
        <w:rPr>
          <w:noProof/>
        </w:rPr>
        <w:t xml:space="preserve"> </w:t>
      </w:r>
      <w:r>
        <w:rPr>
          <w:noProof/>
        </w:rPr>
        <w:t>tamponné</w:t>
      </w:r>
      <w:r>
        <w:rPr>
          <w:noProof/>
        </w:rPr>
        <w:t xml:space="preserve"> et signé</w:t>
      </w:r>
      <w:r>
        <w:rPr>
          <w:noProof/>
        </w:rPr>
        <w:t xml:space="preserve"> par le représentant légal du soumissionnaire ou toute autre personne disposant des pouvoirs nécessaires</w:t>
      </w:r>
      <w:r>
        <w:rPr>
          <w:noProof/>
        </w:rPr>
        <w:t xml:space="preserve">, sans aucune modification ni réserve ; </w:t>
      </w:r>
    </w:p>
    <w:p w14:paraId="24C234D8" w14:textId="1F5E40BB">
      <w:pPr>
        <w:pStyle w:val="Paragraphedeliste"/>
        <w:numPr>
          <w:ilvl w:val="0"/>
          <w:numId w:val="12"/>
        </w:numPr>
        <w:rPr>
          <w:noProof/>
        </w:rPr>
      </w:pPr>
      <w:r>
        <w:rPr>
          <w:b/>
          <w:noProof/>
        </w:rPr>
        <w:t xml:space="preserve">La Décomposition du prix global et forfaitaire (DPGF) </w:t>
      </w:r>
      <w:r>
        <w:rPr>
          <w:noProof/>
        </w:rPr>
        <w:t>(Annexe n° 1 de l’AE)</w:t>
      </w:r>
      <w:r>
        <w:rPr>
          <w:noProof/>
        </w:rPr>
        <w:t>, dûment complétée</w:t>
      </w:r>
      <w:r>
        <w:rPr>
          <w:noProof/>
        </w:rPr>
        <w:t>, datée et, éventuellement, tamponnée et signée</w:t>
      </w:r>
      <w:r>
        <w:rPr>
          <w:noProof/>
        </w:rPr>
        <w:t> ;</w:t>
      </w:r>
    </w:p>
    <w:p w14:paraId="5D53E38D" w14:textId="07533BFD">
      <w:pPr>
        <w:pStyle w:val="Paragraphedeliste"/>
        <w:numPr>
          <w:ilvl w:val="0"/>
          <w:numId w:val="12"/>
        </w:numPr>
        <w:rPr>
          <w:noProof/>
        </w:rPr>
      </w:pPr>
      <w:r>
        <w:rPr>
          <w:b/>
          <w:noProof/>
        </w:rPr>
        <w:t>Le Bordereau des Prix Unitaires</w:t>
      </w:r>
      <w:r>
        <w:rPr>
          <w:b/>
          <w:noProof/>
        </w:rPr>
        <w:t xml:space="preserve"> (BPU)</w:t>
      </w:r>
      <w:r>
        <w:rPr>
          <w:b/>
          <w:noProof/>
        </w:rPr>
        <w:t xml:space="preserve"> </w:t>
      </w:r>
      <w:r>
        <w:rPr>
          <w:noProof/>
        </w:rPr>
        <w:t>(Annexe n° 2 de</w:t>
      </w:r>
      <w:r>
        <w:rPr>
          <w:noProof/>
        </w:rPr>
        <w:t xml:space="preserve"> l’A.E)</w:t>
      </w:r>
      <w:r>
        <w:rPr>
          <w:noProof/>
        </w:rPr>
        <w:t xml:space="preserve">, </w:t>
      </w:r>
      <w:r>
        <w:rPr>
          <w:noProof/>
        </w:rPr>
        <w:t xml:space="preserve">dûment complété, </w:t>
      </w:r>
      <w:r>
        <w:rPr>
          <w:noProof/>
        </w:rPr>
        <w:t>daté</w:t>
      </w:r>
      <w:r>
        <w:rPr>
          <w:noProof/>
        </w:rPr>
        <w:t xml:space="preserve"> et</w:t>
      </w:r>
      <w:r>
        <w:rPr>
          <w:noProof/>
        </w:rPr>
        <w:t>,</w:t>
      </w:r>
      <w:r>
        <w:rPr>
          <w:noProof/>
        </w:rPr>
        <w:t xml:space="preserve"> éventuellement,</w:t>
      </w:r>
      <w:r>
        <w:rPr>
          <w:noProof/>
        </w:rPr>
        <w:t xml:space="preserve"> signé</w:t>
      </w:r>
      <w:r>
        <w:rPr>
          <w:noProof/>
        </w:rPr>
        <w:t xml:space="preserve"> et tamponné</w:t>
      </w:r>
      <w:r>
        <w:rPr>
          <w:noProof/>
        </w:rPr>
        <w:t>, sans aucune modification ni réserve ;</w:t>
      </w:r>
    </w:p>
    <w:p w14:paraId="6353BD6D" w14:textId="67338961">
      <w:pPr>
        <w:pStyle w:val="Paragraphedeliste"/>
        <w:numPr>
          <w:ilvl w:val="0"/>
          <w:numId w:val="12"/>
        </w:numPr>
        <w:ind w:left="714" w:hanging="357"/>
        <w:rPr>
          <w:noProof/>
        </w:rPr>
      </w:pPr>
      <w:r>
        <w:rPr>
          <w:b/>
          <w:noProof/>
        </w:rPr>
        <w:t>Un Cadre de mémoire technique et environnemental</w:t>
      </w:r>
    </w:p>
    <w:p w14:paraId="1E96E254" w14:textId="77777777">
      <w:pPr>
        <w:pStyle w:val="Paragraphedeliste"/>
        <w:numPr>
          <w:ilvl w:val="0"/>
          <w:numId w:val="14"/>
        </w:numPr>
        <w:ind w:left="714" w:hanging="357"/>
        <w:rPr>
          <w:noProof/>
        </w:rPr>
      </w:pPr>
      <w:r>
        <w:rPr>
          <w:b/>
          <w:noProof/>
        </w:rPr>
        <w:t>Un RIB</w:t>
      </w:r>
      <w:r>
        <w:rPr>
          <w:noProof/>
        </w:rPr>
        <w:t xml:space="preserve"> émis par la banque du soumissionnaire ou du mandataire du groupement.</w:t>
      </w:r>
    </w:p>
    <w:p w14:paraId="1D75814A" w14:textId="77777777">
      <w:pPr>
        <w:rPr>
          <w:noProof/>
        </w:rPr>
      </w:pPr>
    </w:p>
    <w:p w14:paraId="74FEC24C" w14:textId="4A8E3E9E">
      <w:pPr>
        <w:rPr>
          <w:b/>
        </w:rPr>
      </w:pPr>
      <w:r>
        <w:rPr>
          <w:b/>
        </w:rPr>
        <w:t>Nota : L’absence et/ou l’incomplétude d’une des pièces mentionnées ci-dessus pourrait avoir pour effet de rendre l’offre irrégulière, en application de l’article L. 2152-2 du Code de la commande publique.</w:t>
      </w:r>
    </w:p>
    <w:p w14:paraId="1FE0508E" w14:textId="072BD97F">
      <w:pPr>
        <w:pStyle w:val="Titre1"/>
        <w:keepNext/>
        <w:rPr/>
      </w:pPr>
      <w:bookmarkStart w:id="42" w:name="_Toc219905984"/>
      <w:r>
        <w:rPr/>
        <w:t xml:space="preserve">ARTICLE 5 – </w:t>
      </w:r>
      <w:r>
        <w:rPr/>
        <w:t/>
      </w:r>
      <w:r>
        <w:rPr/>
        <w:t xml:space="preserve">CONDITIONS D’ENVOI ET DE REMISE DES OFFRES</w:t>
      </w:r>
      <w:bookmarkEnd w:id="40"/>
      <w:bookmarkEnd w:id="42"/>
    </w:p>
    <w:p w14:paraId="512C4DFE" w14:textId="57BC6874">
      <w:pPr>
        <w:pStyle w:val="Titre2"/>
        <w:keepNext/>
        <w:rPr/>
      </w:pPr>
      <w:bookmarkStart w:id="43" w:name="_Toc219905985"/>
      <w:bookmarkStart w:id="44" w:name="_Toc108008350"/>
      <w:bookmarkStart w:id="45" w:name="_Toc145682042"/>
      <w:bookmarkStart w:id="46" w:name="_Toc108008351"/>
      <w:r>
        <w:rPr/>
        <w:t>5.</w:t>
      </w:r>
      <w:r>
        <w:rPr/>
        <w:t>1. Généralités</w:t>
      </w:r>
      <w:bookmarkEnd w:id="43"/>
    </w:p>
    <w:p w14:paraId="5E44186E" w14:textId="6668EEEC">
      <w:pPr>
        <w:rPr>
          <w:noProof/>
        </w:rPr>
      </w:pPr>
      <w:r>
        <w:rPr>
          <w:noProof/>
        </w:rPr>
        <w:t xml:space="preserve">Dans le cadre de la présente consultation, les offres ainsi que toutes les informations et les communications doivent impérativement se faire via le profil acheteur </w:t>
      </w:r>
      <w:hyperlink r:id="rId12" w:history="1">
        <w:r>
          <w:rPr>
            <w:u w:val="single"/>
          </w:rPr>
          <w:t>https://marches.maximilien.fr</w:t>
        </w:r>
      </w:hyperlink>
      <w:r>
        <w:rPr>
          <w:noProof/>
        </w:rPr>
        <w:t>, conformément à l’article R. 2132-7 du Code de la commande publique.</w:t>
      </w:r>
    </w:p>
    <w:p w14:paraId="756A1CDC" w14:textId="77777777">
      <w:pPr>
        <w:rPr>
          <w:noProof/>
        </w:rPr>
      </w:pPr>
    </w:p>
    <w:p w14:paraId="40CB3AC3" w14:textId="55EEED83">
      <w:pPr>
        <w:rPr>
          <w:noProof/>
        </w:rPr>
      </w:pPr>
      <w:r>
        <w:rPr>
          <w:noProof/>
        </w:rPr>
        <w:t>Les candidats/soumissionnaires ne peuvent soulever aucune réclamation à cet égard et ne peuve</w:t>
      </w:r>
      <w:r>
        <w:rPr>
          <w:noProof/>
        </w:rPr>
        <w:t>nt prétendre à aucune indemnité.</w:t>
      </w:r>
    </w:p>
    <w:p w14:paraId="4A1A8CF0" w14:textId="56FCA992">
      <w:pPr>
        <w:rPr>
          <w:noProof/>
        </w:rPr>
      </w:pPr>
    </w:p>
    <w:p w14:paraId="36022B58" w14:textId="1FA15E78">
      <w:pPr>
        <w:rPr>
          <w:noProof/>
        </w:rPr>
      </w:pPr>
      <w:r>
        <w:rPr>
          <w:noProof/>
        </w:rPr>
        <w:t xml:space="preserve">Les candidats/soumissionnaires supportent seuls les frais, quels qu’ils soient, qu’ils engagent</w:t>
      </w:r>
      <w:r>
        <w:rPr>
          <w:noProof/>
        </w:rPr>
        <w:t/>
      </w:r>
      <w:r>
        <w:rPr>
          <w:noProof/>
        </w:rPr>
        <w:t xml:space="preserve"> pour répondre à la présente consultation. Ils n’ont droit à aucune indemnité à cet égard, y compris en cas d’abandon de la procédure par la ville d’Aubervilliers.</w:t>
      </w:r>
    </w:p>
    <w:p w14:paraId="497343CF" w14:textId="15E301A8">
      <w:pPr>
        <w:pStyle w:val="Titre2"/>
        <w:keepNext/>
        <w:rPr/>
      </w:pPr>
      <w:bookmarkStart w:id="47" w:name="_Toc219905986"/>
      <w:r>
        <w:rPr/>
        <w:t>5.</w:t>
      </w:r>
      <w:r>
        <w:rPr/>
        <w:t/>
      </w:r>
      <w:r>
        <w:rPr/>
        <w:t>2</w:t>
      </w:r>
      <w:r>
        <w:rPr/>
        <w:t>. Dématérialisation de la procé</w:t>
      </w:r>
      <w:r>
        <w:rPr/>
        <w:t>d</w:t>
      </w:r>
      <w:r>
        <w:rPr/>
        <w:t>ure</w:t>
      </w:r>
      <w:bookmarkEnd w:id="44"/>
      <w:bookmarkEnd w:id="45"/>
      <w:bookmarkEnd w:id="47"/>
    </w:p>
    <w:p w14:paraId="65FD4AF1" w14:textId="091EE80D">
      <w:pPr>
        <w:rPr>
          <w:noProof/>
        </w:rPr>
      </w:pPr>
      <w:r>
        <w:rPr>
          <w:noProof/>
        </w:rPr>
        <w:t>Dans le cadre de la présente consultation, les offres ainsi que toutes les inform</w:t>
      </w:r>
      <w:r>
        <w:rPr>
          <w:noProof/>
        </w:rPr>
        <w:t>ations et les communicatio</w:t>
      </w:r>
      <w:r>
        <w:rPr>
          <w:noProof/>
        </w:rPr>
        <w:t xml:space="preserve">ns doivent impérativement se faire via le profil acheteur </w:t>
      </w:r>
      <w:hyperlink r:id="rId13" w:history="1">
        <w:r>
          <w:rPr>
            <w:u w:val="single"/>
          </w:rPr>
          <w:t>https://marches.maximilien.fr</w:t>
        </w:r>
      </w:hyperlink>
      <w:r>
        <w:rPr>
          <w:noProof/>
        </w:rPr>
        <w:t>, conformément à l’article R. 2132-7 du Code de la commande publique.</w:t>
      </w:r>
    </w:p>
    <w:p w14:paraId="4130EB39" w14:textId="3B47D74C">
      <w:pPr>
        <w:rPr>
          <w:noProof/>
        </w:rPr>
      </w:pPr>
    </w:p>
    <w:p w14:paraId="4E1B42CB" w14:textId="62C064C9">
      <w:pPr>
        <w:rPr>
          <w:noProof/>
        </w:rPr>
      </w:pPr>
      <w:r>
        <w:rPr>
          <w:noProof/>
        </w:rPr>
        <w:t>Les documents de la consultation seront mis à la disposition des candidats</w:t>
      </w:r>
      <w:r>
        <w:rPr>
          <w:noProof/>
        </w:rPr>
        <w:t xml:space="preserve"> sur la plateforme Maximilien à compter de la publication</w:t>
      </w:r>
      <w:r>
        <w:rPr>
          <w:noProof/>
        </w:rPr>
        <w:t xml:space="preserve"> de l’avis d’</w:t>
      </w:r>
      <w:r>
        <w:rPr>
          <w:noProof/>
        </w:rPr>
        <w:t>appel</w:t>
      </w:r>
      <w:r>
        <w:rPr>
          <w:noProof/>
        </w:rPr>
        <w:t xml:space="preserve"> à la concurrence, en application de l’article R. 2132-2 du Code de la commande publique.</w:t>
      </w:r>
    </w:p>
    <w:p w14:paraId="77B1CD11" w14:textId="77777777">
      <w:pPr>
        <w:rPr>
          <w:noProof/>
        </w:rPr>
      </w:pPr>
    </w:p>
    <w:p w14:paraId="0CBCC439" w14:textId="409343CA">
      <w:r>
        <w:t xml:space="preserve">Chaque candidat fait son affaire, sous sa responsabilité, de l’ouverture d’un compte sur Maximilien. Il doit indiquer à cet effet une adresse électronique (mail) valable, qu’il se chargera de consulter régulièrement afin de suivre toute diffusion d’information relative </w:t>
      </w:r>
      <w:r>
        <w:t xml:space="preserve">à </w:t>
      </w:r>
      <w:r>
        <w:t>la procédure de consultatio</w:t>
      </w:r>
      <w:r>
        <w:t>n, et, éventuellement, durant l</w:t>
      </w:r>
      <w:r>
        <w:t xml:space="preserve">a durée d’exécution </w:t>
      </w:r>
      <w:r>
        <w:t>de l’accord-cadre</w:t>
      </w:r>
      <w:r>
        <w:t>.</w:t>
      </w:r>
    </w:p>
    <w:p w14:paraId="40C0825E" w14:textId="77777777">
      <w:pPr>
        <w:rPr>
          <w:noProof/>
        </w:rPr>
      </w:pPr>
    </w:p>
    <w:p w14:paraId="34562AD0" w14:textId="77777777">
      <w:r>
        <w:t>Les candidats n’ayant jamais utilisé la plateforme MAXIMILIEN sont invités à vérifier les prérequis techniques nécessaires à l’adresse suivante :</w:t>
      </w:r>
    </w:p>
    <w:p w14:paraId="68B53F28" w14:textId="6B6BA02B">
      <w:pPr>
        <w:rPr>
          <w:rFonts w:eastAsia="Times New Roman" w:cs="Times New Roman" w:ascii="Times New Roman" w:hAnsi="Times New Roman"/>
          <w:bCs/>
          <w:szCs w:val="24"/>
        </w:rPr>
      </w:pPr>
      <w:hyperlink r:id="rId14" w:anchor="rubrique_2" w:history="1">
        <w:r>
          <w:rPr>
            <w:rFonts w:eastAsia="Times New Roman" w:cs="Times New Roman" w:ascii="Times New Roman" w:hAnsi="Times New Roman"/>
            <w:bCs/>
            <w:szCs w:val="24"/>
            <w:u w:val="single"/>
          </w:rPr>
          <w:t>https://marches.maximilien.fr/?page=commun.ConditionsUtilisation&amp;calledFrom=entreprise#rubrique_2</w:t>
        </w:r>
      </w:hyperlink>
      <w:r>
        <w:rPr>
          <w:rFonts w:eastAsia="Times New Roman" w:cs="Times New Roman" w:ascii="Times New Roman" w:hAnsi="Times New Roman"/>
          <w:bCs/>
          <w:szCs w:val="24"/>
        </w:rPr>
        <w:t>.</w:t>
      </w:r>
    </w:p>
    <w:p w14:paraId="0C44DA52" w14:textId="77777777">
      <w:pPr>
        <w:rPr>
          <w:rFonts w:eastAsia="Times New Roman" w:cs="Times New Roman" w:ascii="Times New Roman" w:hAnsi="Times New Roman"/>
          <w:bCs/>
          <w:szCs w:val="24"/>
        </w:rPr>
      </w:pPr>
    </w:p>
    <w:p w14:paraId="487827C6" w14:textId="77777777">
      <w:r>
        <w:t>Un guide d’utilisation de la plateforme est également disponible à l’adresse suivante :</w:t>
      </w:r>
    </w:p>
    <w:p w14:paraId="449AA24F" w14:textId="77777777">
      <w:pPr>
        <w:rPr>
          <w:rFonts w:eastAsia="Times New Roman" w:cs="Times New Roman" w:ascii="Times New Roman" w:hAnsi="Times New Roman"/>
          <w:bCs/>
          <w:szCs w:val="24"/>
        </w:rPr>
      </w:pPr>
      <w:hyperlink r:id="rId15" w:history="1">
        <w:r>
          <w:rPr>
            <w:rFonts w:eastAsia="Times New Roman" w:cs="Times New Roman" w:ascii="Times New Roman" w:hAnsi="Times New Roman"/>
            <w:bCs/>
            <w:szCs w:val="24"/>
            <w:u w:val="single"/>
          </w:rPr>
          <w:t>https://marches.maximilien.fr/?page=entreprise.EntrepriseGuide</w:t>
        </w:r>
      </w:hyperlink>
      <w:r>
        <w:rPr>
          <w:rFonts w:eastAsia="Times New Roman" w:cs="Times New Roman" w:ascii="Times New Roman" w:hAnsi="Times New Roman"/>
          <w:bCs/>
          <w:szCs w:val="24"/>
        </w:rPr>
        <w:t xml:space="preserve"> .</w:t>
      </w:r>
    </w:p>
    <w:p w14:paraId="7B518032" w14:textId="77777777">
      <w:pPr>
        <w:rPr>
          <w:rFonts w:eastAsia="Times New Roman" w:cs="Times New Roman" w:ascii="Times New Roman" w:hAnsi="Times New Roman"/>
          <w:bCs/>
          <w:szCs w:val="24"/>
        </w:rPr>
      </w:pPr>
    </w:p>
    <w:p w14:paraId="00AFF3A8" w14:textId="77777777">
      <w:pPr>
        <w:rPr>
          <w:b/>
        </w:rPr>
      </w:pPr>
      <w:r>
        <w:t>Un service de support est également accessible de 9h00 à 19h00 les jours ouvrés au</w:t>
      </w:r>
      <w:r>
        <w:rPr>
          <w:b/>
        </w:rPr>
        <w:t xml:space="preserve"> 01 76 64 74 08.</w:t>
      </w:r>
    </w:p>
    <w:p w14:paraId="79232050" w14:textId="77777777">
      <w:pPr>
        <w:rPr>
          <w:noProof/>
        </w:rPr>
      </w:pPr>
    </w:p>
    <w:p w14:paraId="539B8450" w14:textId="77777777">
      <w:pPr>
        <w:rPr>
          <w:noProof/>
        </w:rPr>
      </w:pPr>
      <w:r>
        <w:rPr>
          <w:noProof/>
        </w:rPr>
        <w:t>Aucun autre moyen de remise des candidatures et des offres n’est admis (liens hypertextes, …).</w:t>
      </w:r>
    </w:p>
    <w:p w14:paraId="66E1B939" w14:textId="50F2CA0A">
      <w:pPr>
        <w:pStyle w:val="Titre2"/>
        <w:keepNext/>
        <w:rPr/>
      </w:pPr>
      <w:bookmarkStart w:id="48" w:name="_Toc145682043"/>
      <w:bookmarkStart w:id="49" w:name="_Toc219905987"/>
      <w:bookmarkEnd w:id="46"/>
      <w:r>
        <w:rPr/>
        <w:t>5.</w:t>
      </w:r>
      <w:r>
        <w:rPr/>
        <w:t/>
      </w:r>
      <w:r>
        <w:rPr/>
        <w:t>3</w:t>
      </w:r>
      <w:r>
        <w:rPr/>
        <w:t xml:space="preserve">. </w:t>
      </w:r>
      <w:r>
        <w:rPr/>
        <w:t>F</w:t>
      </w:r>
      <w:r>
        <w:rPr/>
        <w:t>o</w:t>
      </w:r>
      <w:r>
        <w:rPr/>
        <w:t>r</w:t>
      </w:r>
      <w:r>
        <w:rPr/>
        <w:t>mats et m</w:t>
      </w:r>
      <w:r>
        <w:rPr/>
        <w:t>odalités de transmission des documents</w:t>
      </w:r>
      <w:bookmarkEnd w:id="48"/>
      <w:bookmarkEnd w:id="49"/>
    </w:p>
    <w:p w14:paraId="7C8BBC3C" w14:textId="4B4D9715">
      <w:r>
        <w:t>Afin de pouvoir télécharger les documents de la présente consultation, de recevoir toutes les informations relatives à celle-ci, et pouvoir déposer leurs candidatures et leurs offres,</w:t>
      </w:r>
      <w:r>
        <w:t xml:space="preserve"> chaque candidat/soumissionnaire doi</w:t>
      </w:r>
      <w:r>
        <w:t>t s’identifier en se connectant à son compte sur Maximilien.</w:t>
      </w:r>
    </w:p>
    <w:p w14:paraId="17C145A8" w14:textId="77777777"/>
    <w:p w14:paraId="6C99FB3F" w14:textId="77777777">
      <w:r>
        <w:t>Les dossiers doivent parvenir avant la date et l’heure limites précisées sur ladite plateforme, conformément au présent règlement de la consultation.</w:t>
      </w:r>
    </w:p>
    <w:p w14:paraId="6A488915" w14:textId="77777777"/>
    <w:p w14:paraId="7BBFEBBA" w14:textId="65049BBE">
      <w:r>
        <w:t>En cas de remise de plusieurs offres par un même candidat, seule la dernière offre déposée sera ouverte et analysée.</w:t>
      </w:r>
      <w:r>
        <w:t xml:space="preserve"> La date et l’heure communiquées par la plateforme Maximilien feront foi.</w:t>
      </w:r>
    </w:p>
    <w:p w14:paraId="0CC33D81" w14:textId="77777777"/>
    <w:p w14:paraId="391B25F3" w14:textId="461D54E7">
      <w:pPr>
        <w:rPr>
          <w:noProof/>
        </w:rPr>
      </w:pPr>
      <w:r>
        <w:rPr>
          <w:noProof/>
        </w:rPr>
        <w:t>Afin de permettre à la ville d’Aubervilliers d’ouvrir, de décompresser, de lire et d’utilise</w:t>
      </w:r>
      <w:r>
        <w:rPr>
          <w:noProof/>
        </w:rPr>
        <w:t>r les documents fourni</w:t>
      </w:r>
      <w:r>
        <w:rPr>
          <w:noProof/>
        </w:rPr>
        <w:t xml:space="preserve">s par le soumissionnaires dans le cadre de la présente procédure, </w:t>
      </w:r>
      <w:r>
        <w:rPr>
          <w:noProof/>
        </w:rPr>
        <w:t>celle-ci</w:t>
      </w:r>
      <w:r>
        <w:rPr>
          <w:noProof/>
        </w:rPr>
        <w:t xml:space="preserve"> invite les soumissionnaires à déposer des documents ayant les formats suivants :</w:t>
      </w:r>
    </w:p>
    <w:p w14:paraId="618BBBEF" w14:textId="77777777">
      <w:pPr>
        <w:rPr>
          <w:noProof/>
        </w:rPr>
      </w:pPr>
    </w:p>
    <w:p w14:paraId="48B5A5CD" w14:textId="77777777">
      <w:pPr>
        <w:pStyle w:val="Paragraphedeliste"/>
        <w:numPr>
          <w:ilvl w:val="0"/>
          <w:numId w:val="20"/>
        </w:numPr>
        <w:ind w:left="697" w:hanging="357"/>
        <w:rPr>
          <w:noProof/>
        </w:rPr>
      </w:pPr>
      <w:r>
        <w:rPr>
          <w:noProof/>
        </w:rPr>
        <w:t>Fichiers compressés au standard .zip ;</w:t>
      </w:r>
    </w:p>
    <w:p w14:paraId="7BA68B7A" w14:textId="77777777">
      <w:pPr>
        <w:pStyle w:val="Paragraphedeliste"/>
        <w:numPr>
          <w:ilvl w:val="0"/>
          <w:numId w:val="20"/>
        </w:numPr>
        <w:ind w:left="697" w:hanging="357"/>
        <w:rPr>
          <w:noProof/>
        </w:rPr>
      </w:pPr>
      <w:r>
        <w:rPr>
          <w:noProof/>
        </w:rPr>
        <w:t>Fichiers .pdf ;</w:t>
      </w:r>
    </w:p>
    <w:p w14:paraId="3F41B7A3" w14:textId="77777777">
      <w:pPr>
        <w:pStyle w:val="Paragraphedeliste"/>
        <w:numPr>
          <w:ilvl w:val="0"/>
          <w:numId w:val="20"/>
        </w:numPr>
        <w:ind w:left="697" w:hanging="357"/>
        <w:rPr>
          <w:noProof/>
        </w:rPr>
      </w:pPr>
      <w:r>
        <w:rPr>
          <w:noProof/>
        </w:rPr>
        <w:t>Fichiers .doc ;</w:t>
      </w:r>
    </w:p>
    <w:p w14:paraId="572ECCD8" w14:textId="77777777">
      <w:pPr>
        <w:pStyle w:val="Paragraphedeliste"/>
        <w:numPr>
          <w:ilvl w:val="0"/>
          <w:numId w:val="20"/>
        </w:numPr>
        <w:ind w:left="697" w:hanging="357"/>
        <w:rPr>
          <w:noProof/>
        </w:rPr>
      </w:pPr>
      <w:r>
        <w:rPr>
          <w:noProof/>
        </w:rPr>
        <w:t>Fichiers .jpg, .gif, .png</w:t>
      </w:r>
    </w:p>
    <w:p w14:paraId="39755223" w14:textId="77777777"/>
    <w:p w14:paraId="64DCD01F" w14:textId="77777777">
      <w:pPr>
        <w:rPr>
          <w:b/>
          <w:bCs/>
          <w:u w:val="single"/>
        </w:rPr>
      </w:pPr>
      <w:r>
        <w:rPr>
          <w:b/>
          <w:u w:val="single"/>
        </w:rPr>
        <w:t>Avertissement :</w:t>
      </w:r>
    </w:p>
    <w:p w14:paraId="06291313" w14:textId="77777777"/>
    <w:p w14:paraId="70CD8343" w14:textId="77777777">
      <w:r>
        <w:t>En cas de cotraitance, le mandataire du groupement assure la transmission électronique de l’ensemble des documents exigés pour chacun des membres du groupement. Seul le mandataire du groupement remettra la réponse électronique sur la plate-forme en utilisant son profil candidat sur Maximilien.</w:t>
      </w:r>
    </w:p>
    <w:p w14:paraId="1731867F" w14:textId="77777777"/>
    <w:p w14:paraId="62017201" w14:textId="30A66A3E">
      <w:r>
        <w:t>Les candidats sont informés que les documents transmis par voie électronique pourront être matérialisés par l</w:t>
      </w:r>
      <w:r>
        <w:t xml:space="preserve">a ville d’Aubervilliers, </w:t>
      </w:r>
      <w:r>
        <w:t xml:space="preserve">après l'ouverture des plis et que l'attribution </w:t>
      </w:r>
      <w:r>
        <w:t>de l’accord-cadre</w:t>
      </w:r>
      <w:r>
        <w:t xml:space="preserve"> pourra donner lieu à la signature manuscrite d'un </w:t>
      </w:r>
      <w:r>
        <w:t>accord-cadre</w:t>
      </w:r>
      <w:r>
        <w:t xml:space="preserve"> papier après mise au point de l’Acte d’Engagement.</w:t>
      </w:r>
    </w:p>
    <w:p w14:paraId="6C7F6F38" w14:textId="1D47C575">
      <w:pPr>
        <w:pStyle w:val="Titre2"/>
        <w:keepNext/>
        <w:rPr/>
      </w:pPr>
      <w:bookmarkStart w:id="50" w:name="_Toc145682044"/>
      <w:bookmarkStart w:id="51" w:name="_Toc219905988"/>
      <w:r>
        <w:rPr/>
        <w:t>5.</w:t>
      </w:r>
      <w:r>
        <w:rPr/>
        <w:t>4</w:t>
      </w:r>
      <w:r>
        <w:rPr/>
        <w:t>. Copie de sauvegarde</w:t>
      </w:r>
      <w:bookmarkEnd w:id="50"/>
      <w:bookmarkEnd w:id="51"/>
    </w:p>
    <w:p w14:paraId="6FDAB5E5" w14:textId="003861C0">
      <w:pPr>
        <w:rPr>
          <w:noProof/>
        </w:rPr>
      </w:pPr>
      <w:r>
        <w:rPr>
          <w:noProof/>
        </w:rPr>
        <w:t xml:space="preserve">Conformément à l’article R. 2132-11 du Code de la commande publique, une copie de sauvegarde peut être remise à la ville d’Aubervilliers ; elle contient les mêmes documents transmis par </w:t>
      </w:r>
      <w:r>
        <w:rPr>
          <w:noProof/>
        </w:rPr>
        <w:t>voie électronique via le profil</w:t>
      </w:r>
      <w:r>
        <w:rPr>
          <w:noProof/>
        </w:rPr>
        <w:t xml:space="preserve"> acheteur. En outre, la copie de sauvegarde est soumise aux dispositions de l’arrêté du 22 mars 2019 fixant les modalités de mise à disposition des documents de la consultation et de la copie de sauvegarde (Annexe n° 6 du Code de la commande publique).</w:t>
      </w:r>
    </w:p>
    <w:p w14:paraId="34810A74" w14:textId="77777777">
      <w:pPr>
        <w:rPr>
          <w:noProof/>
        </w:rPr>
      </w:pPr>
    </w:p>
    <w:p w14:paraId="557ACC25" w14:textId="77777777">
      <w:r>
        <w:t>Ainsi, pour pallier les éventuelles défaillances de transmission ou des plates-formes de dématérialisation ou de la présence d’un « programme informatique malveillant » dans l’offre transmise par voie électronique, la ville d’Aubervilliers va ouvrir, le cas échéant, la copie de sauvegarde reçue dans le délai fixé pour la transmission des candidatures et des offres électroniques. En cas d’envoi par voie postale, le cachet de la poste fera foi.</w:t>
      </w:r>
    </w:p>
    <w:p w14:paraId="62F696A2" w14:textId="77777777">
      <w:pPr>
        <w:rPr>
          <w:noProof/>
        </w:rPr>
      </w:pPr>
    </w:p>
    <w:p w14:paraId="28FDB3F9" w14:textId="77777777">
      <w:pPr>
        <w:rPr>
          <w:noProof/>
        </w:rPr>
      </w:pPr>
      <w:r>
        <w:rPr>
          <w:noProof/>
        </w:rPr>
        <w:t xml:space="preserve">La copie de sauvegarde doit être remise sous pli scellé contre récépissé, ou envoyée par courrier scellé avec demande d’avis de réception. </w:t>
      </w:r>
    </w:p>
    <w:p w14:paraId="27EE193F" w14:textId="77777777">
      <w:pPr>
        <w:rPr>
          <w:noProof/>
        </w:rPr>
      </w:pPr>
    </w:p>
    <w:p w14:paraId="744B4BCB" w14:textId="73626B70">
      <w:pPr>
        <w:rPr>
          <w:noProof/>
        </w:rPr>
      </w:pPr>
      <w:r>
        <w:rPr>
          <w:noProof/>
        </w:rPr>
        <w:t>Les documents qui y sont joints peuvent être sous format papier, ou so</w:t>
      </w:r>
      <w:r>
        <w:rPr>
          <w:noProof/>
        </w:rPr>
        <w:t>us format électronique (CD-Rom,</w:t>
      </w:r>
      <w:r>
        <w:rPr>
          <w:noProof/>
        </w:rPr>
        <w:t>Clé USB) ne contenant pas de virus informatiques ni de programmes informatiques malveillants pour qu’ils soient traités et pris en compte par la ville d’Aubervilliers. Le candidat concerné est seul responsable à cet égard.</w:t>
      </w:r>
    </w:p>
    <w:p w14:paraId="07A796A6" w14:textId="77777777">
      <w:pPr>
        <w:rPr>
          <w:noProof/>
        </w:rPr>
      </w:pPr>
    </w:p>
    <w:p w14:paraId="434B00FF" w14:textId="77777777">
      <w:pPr>
        <w:rPr>
          <w:noProof/>
        </w:rPr>
      </w:pPr>
      <w:r>
        <w:rPr>
          <w:noProof/>
        </w:rPr>
        <w:t>L’enveloppe contenant la copie de sauvegarde doit comporter les mentions suivantes :</w:t>
      </w:r>
    </w:p>
    <w:p w14:paraId="2F72144C" w14:textId="77777777">
      <w:pPr>
        <w:rPr>
          <w:noProof/>
        </w:rPr>
      </w:pPr>
    </w:p>
    <w:p w14:paraId="719AA716" w14:textId="29DEADD4">
      <w:pPr>
        <w:jc w:val="center"/>
        <w:rPr>
          <w:smallCaps/>
          <w:noProof/>
        </w:rPr>
      </w:pPr>
      <w:r>
        <w:rPr>
          <w:smallCaps/>
          <w:noProof/>
        </w:rPr>
        <w:t>nom / raison social</w:t>
      </w:r>
      <w:r>
        <w:rPr>
          <w:smallCaps/>
          <w:noProof/>
        </w:rPr>
        <w:t>e</w:t>
      </w:r>
      <w:r>
        <w:rPr>
          <w:smallCaps/>
          <w:noProof/>
        </w:rPr>
        <w:t xml:space="preserve"> du candidat (ou du groupement)</w:t>
      </w:r>
    </w:p>
    <w:p w14:paraId="5508D853" w14:textId="77777777">
      <w:pPr>
        <w:jc w:val="center"/>
        <w:rPr>
          <w:smallCaps/>
          <w:noProof/>
        </w:rPr>
      </w:pPr>
      <w:r>
        <w:rPr>
          <w:smallCaps/>
          <w:noProof/>
        </w:rPr>
        <w:t xml:space="preserve">«copie de sauvegarde» </w:t>
      </w:r>
    </w:p>
    <w:p w14:paraId="4F5FC031" w14:textId="7BDE12E4">
      <w:pPr>
        <w:jc w:val="center"/>
        <w:rPr>
          <w:smallCaps/>
          <w:noProof/>
        </w:rPr>
      </w:pPr>
      <w:r>
        <w:rPr>
          <w:smallCaps/>
          <w:noProof/>
        </w:rPr>
        <w:t>DST-16-26</w:t>
      </w:r>
    </w:p>
    <w:p w14:paraId="275D020D" w14:textId="77777777">
      <w:pPr>
        <w:jc w:val="center"/>
        <w:rPr>
          <w:smallCaps/>
          <w:noProof/>
        </w:rPr>
      </w:pPr>
      <w:r>
        <w:rPr>
          <w:smallCaps/>
          <w:noProof/>
        </w:rPr>
        <w:t>Ne pas ouvrir</w:t>
      </w:r>
    </w:p>
    <w:p w14:paraId="362475EE" w14:textId="77777777">
      <w:pPr>
        <w:rPr>
          <w:noProof/>
        </w:rPr>
      </w:pPr>
    </w:p>
    <w:p w14:paraId="2FCCF0B2" w14:textId="77777777">
      <w:pPr>
        <w:rPr>
          <w:noProof/>
        </w:rPr>
      </w:pPr>
      <w:r>
        <w:rPr>
          <w:noProof/>
        </w:rPr>
        <w:t xml:space="preserve">La copie de sauvegarde est envoyée ou remise contre récépissé à l’adresse suivante : </w:t>
      </w:r>
    </w:p>
    <w:p w14:paraId="643AB035" w14:textId="77777777">
      <w:pPr>
        <w:rPr>
          <w:noProof/>
        </w:rPr>
      </w:pPr>
    </w:p>
    <w:p w14:paraId="0D89D5A0" w14:textId="7BF7FAA8">
      <w:pPr>
        <w:jc w:val="center"/>
        <w:rPr>
          <w:smallCaps/>
          <w:noProof/>
        </w:rPr>
      </w:pPr>
      <w:r>
        <w:rPr>
          <w:smallCaps/>
          <w:noProof/>
        </w:rPr>
        <w:t>Mairie d’Aubervilliers</w:t>
      </w:r>
    </w:p>
    <w:p w14:paraId="3A86CF66" w14:textId="0E9B13DE">
      <w:pPr>
        <w:jc w:val="center"/>
        <w:rPr>
          <w:smallCaps/>
          <w:noProof/>
        </w:rPr>
      </w:pPr>
      <w:r>
        <w:rPr>
          <w:smallCaps/>
          <w:noProof/>
        </w:rPr>
        <w:t>Direction des achats et de la commande publique (</w:t>
      </w:r>
      <w:r>
        <w:rPr>
          <w:smallCaps/>
          <w:noProof/>
        </w:rPr>
        <w:t>DACP</w:t>
      </w:r>
      <w:r>
        <w:rPr>
          <w:smallCaps/>
          <w:noProof/>
        </w:rPr>
        <w:t>)</w:t>
      </w:r>
    </w:p>
    <w:p w14:paraId="6E55E710" w14:textId="5BFC80FF">
      <w:pPr>
        <w:jc w:val="center"/>
        <w:rPr>
          <w:smallCaps/>
          <w:noProof/>
        </w:rPr>
      </w:pPr>
      <w:r>
        <w:rPr>
          <w:smallCaps/>
          <w:noProof/>
        </w:rPr>
        <w:t>2e étage</w:t>
      </w:r>
    </w:p>
    <w:p w14:paraId="60CF5657" w14:textId="77777777">
      <w:pPr>
        <w:jc w:val="center"/>
        <w:rPr>
          <w:smallCaps/>
          <w:noProof/>
        </w:rPr>
      </w:pPr>
      <w:r>
        <w:rPr>
          <w:smallCaps/>
          <w:noProof/>
        </w:rPr>
        <w:t>72, rue henri barbusse</w:t>
      </w:r>
    </w:p>
    <w:p w14:paraId="0D304317" w14:textId="2FCC00A2">
      <w:pPr>
        <w:jc w:val="center"/>
        <w:rPr>
          <w:smallCaps/>
          <w:noProof/>
        </w:rPr>
      </w:pPr>
      <w:r>
        <w:rPr>
          <w:smallCaps/>
          <w:noProof/>
        </w:rPr>
        <w:t>93308 aubervilliers cedex</w:t>
      </w:r>
    </w:p>
    <w:p w14:paraId="40411BE5" w14:textId="32D5B18F">
      <w:pPr>
        <w:jc w:val="center"/>
        <w:rPr>
          <w:smallCaps/>
          <w:noProof/>
        </w:rPr>
      </w:pPr>
    </w:p>
    <w:p w14:paraId="4B099A2F" w14:textId="50ABF607">
      <w:pPr>
        <w:jc w:val="center"/>
        <w:rPr>
          <w:b/>
          <w:smallCaps/>
          <w:noProof/>
        </w:rPr>
      </w:pPr>
      <w:r>
        <w:rPr>
          <w:b/>
          <w:smallCaps/>
          <w:noProof/>
        </w:rPr>
        <w:t>horaires d’ouverture : du lundi au vendredi de 8h30 à 12h00 et de 13h00 à 17h30.</w:t>
      </w:r>
    </w:p>
    <w:p w14:paraId="0F8A8A06" w14:textId="22E9EEEE">
      <w:pPr>
        <w:rPr>
          <w:noProof/>
        </w:rPr>
      </w:pPr>
    </w:p>
    <w:p w14:paraId="50DDB24A" w14:textId="77777777">
      <w:pPr>
        <w:rPr>
          <w:noProof/>
        </w:rPr>
      </w:pPr>
      <w:r>
        <w:rPr>
          <w:noProof/>
        </w:rPr>
        <w:t>Les dossiers qui seraient remis par les candidats après la date et l’heure limites fixées par l’avis d’appel public à la concurrence seront rejetés. Pour ceux envoyés par courriers postaux, le cachet de la poste fera foi.</w:t>
      </w:r>
    </w:p>
    <w:p w14:paraId="640D9DDE" w14:textId="77777777"/>
    <w:p w14:paraId="796E3772" w14:textId="77777777">
      <w:r>
        <w:t>Si elle est transmise dans les conditions précitées, la copie de sauvegarde n’est ouverte, en lieu et place de l’offre transmise par voie électronique, que lorsque :</w:t>
      </w:r>
    </w:p>
    <w:p w14:paraId="1451FC8A" w14:textId="77777777"/>
    <w:p w14:paraId="2851F1CE" w14:textId="4C85A608">
      <w:pPr>
        <w:pStyle w:val="Paragraphedeliste"/>
        <w:numPr>
          <w:ilvl w:val="0"/>
          <w:numId w:val="20"/>
        </w:numPr>
      </w:pPr>
      <w:r>
        <w:t>Un programme informatique malveillant est détecté dans les candidatures ou les offres transmises par voie électronique. Le cas échéant, la trace d</w:t>
      </w:r>
      <w:r>
        <w:t>e c</w:t>
      </w:r>
      <w:r>
        <w:t>ette malveillance est conservé</w:t>
      </w:r>
      <w:r>
        <w:t>e</w:t>
      </w:r>
      <w:r>
        <w:t xml:space="preserve"> par la ville d’Aubervilliers ;</w:t>
      </w:r>
    </w:p>
    <w:p w14:paraId="6AB64419" w14:textId="1F7BBD53">
      <w:pPr>
        <w:pStyle w:val="Paragraphedeliste"/>
        <w:numPr>
          <w:ilvl w:val="0"/>
          <w:numId w:val="20"/>
        </w:numPr>
      </w:pPr>
      <w:r>
        <w:t>Une candidature ou une offre électronique n’est pas parvenue de manière complète, hors délais ou n’a pu être ouverte, sous réserve que la transmission de la candidature ou de l’offre électronique ait commencé avant la clôture de la remise des candidatures ou des offres.</w:t>
      </w:r>
      <w:r>
        <w:t xml:space="preserve"> Ainsi, pour s’assurer que la transmission de leurs plis soit</w:t>
      </w:r>
      <w:r>
        <w:t/>
      </w:r>
      <w:r>
        <w:t xml:space="preserve"> effectué</w:t>
      </w:r>
      <w:r>
        <w:t>e</w:t>
      </w:r>
      <w:r>
        <w:t xml:space="preserve"> de manière intégrale</w:t>
      </w:r>
      <w:r>
        <w:t>,</w:t>
      </w:r>
      <w:r>
        <w:t xml:space="preserve"> et</w:t>
      </w:r>
      <w:r>
        <w:t xml:space="preserve"> afin</w:t>
      </w:r>
      <w:r>
        <w:t xml:space="preserve"> qu’elle puisse être ouverte et analysée par la ville d’Aubervilliers, </w:t>
      </w:r>
      <w:r>
        <w:t xml:space="preserve">les candidats/soumissionnaires </w:t>
      </w:r>
      <w:r>
        <w:t xml:space="preserve">doivent </w:t>
      </w:r>
      <w:r>
        <w:t>s’y prendre suffisamment en amont, afin d’éviter de se prémunir d</w:t>
      </w:r>
      <w:r>
        <w:t xml:space="preserve">es éventuels aléas </w:t>
      </w:r>
      <w:r>
        <w:t>de connexion internet, de dispo</w:t>
      </w:r>
      <w:r>
        <w:t>nibilité de la plateforme Maximilien, ou autres aléas susceptibles d’avoir des ré</w:t>
      </w:r>
      <w:r>
        <w:t>percussions sur la transmission des candidatures et des offres.</w:t>
      </w:r>
    </w:p>
    <w:p w14:paraId="6D5F723C" w14:textId="77777777"/>
    <w:p w14:paraId="01AE4B02" w14:textId="77777777">
      <w:pPr>
        <w:rPr>
          <w:b/>
        </w:rPr>
      </w:pPr>
      <w:r>
        <w:rPr>
          <w:b/>
        </w:rPr>
        <w:t>Lorsqu’un programme malveillant est détecté dans la copie de sauvegarde, celle-ci est écartée par la ville d’Aubervilliers.</w:t>
      </w:r>
    </w:p>
    <w:p w14:paraId="16802BB9" w14:textId="77777777"/>
    <w:p w14:paraId="2AF3A826" w14:textId="43435DB7">
      <w:r>
        <w:t>Les plis contenant une copie de sauvegarde, que le pouvoir adjudicateur n’a pas ouverts, seront détruits à la fin de la procédure de passation.</w:t>
      </w:r>
    </w:p>
    <w:p w14:paraId="21A5031D" w14:textId="17309D75">
      <w:pPr>
        <w:pStyle w:val="Titre2"/>
        <w:keepNext/>
        <w:rPr/>
      </w:pPr>
      <w:bookmarkStart w:id="52" w:name="_Toc219905989"/>
      <w:r>
        <w:rPr/>
        <w:t>5.</w:t>
      </w:r>
      <w:r>
        <w:rPr/>
        <w:t>5.</w:t>
      </w:r>
      <w:r>
        <w:rPr/>
        <w:t xml:space="preserve"> Signature électronique des documents</w:t>
      </w:r>
      <w:bookmarkEnd w:id="52"/>
    </w:p>
    <w:p w14:paraId="7B262FF7" w14:textId="77777777">
      <w:bookmarkStart w:id="53" w:name="_Toc108008352"/>
      <w:r>
        <w:t>Tout en étant recommandée, la signature électronique de l’acte d’engagement n’est pas exigée au stade de la candidature.</w:t>
      </w:r>
    </w:p>
    <w:p w14:paraId="030B07F3" w14:textId="77777777"/>
    <w:p w14:paraId="593CBA6F" w14:textId="77777777">
      <w:r>
        <w:t>La signature électronique, répondant aux critères et aux modalités de signature fixés dans l’arrêté du 22 mars 2019 relatif à la signature électronique des contrats de la commande publique (Annexe 12 du Code de la commande publique), a la même valeur juridique que la signature manuscrite ; elle engage la responsabilité du signataire au nom duquel est établi le certificat de signature électronique et/ou de la personne qu’il représente.</w:t>
      </w:r>
    </w:p>
    <w:p w14:paraId="09C92745" w14:textId="77777777"/>
    <w:p w14:paraId="04F43E9D" w14:textId="77777777">
      <w:r>
        <w:t xml:space="preserve">Les formats de signature électronique sont XAdES, CAdES ou PAdES tels que mentionnés aux articles 1 et 2 de la décision d’exécution (UE) n°2015-1506 de la Commission du 8 septembre 2015. </w:t>
      </w:r>
    </w:p>
    <w:p w14:paraId="2912B785" w14:textId="77777777"/>
    <w:p w14:paraId="6D69C7D9" w14:textId="44EF5B79">
      <w:r>
        <w:t>La validité de la signature électronique se constate par un contrôle fonctionnel qui porte au minimum sur les points suivants :</w:t>
      </w:r>
    </w:p>
    <w:p w14:paraId="0E24BDD5" w14:textId="77777777">
      <w:pPr>
        <w:pStyle w:val="Paragraphedeliste"/>
        <w:numPr>
          <w:ilvl w:val="0"/>
          <w:numId w:val="32"/>
        </w:numPr>
        <w:ind w:left="567"/>
      </w:pPr>
      <w:r>
        <w:t>L’identité du signataire, habilité ;</w:t>
      </w:r>
    </w:p>
    <w:p w14:paraId="32933A5E" w14:textId="77777777">
      <w:pPr>
        <w:pStyle w:val="Paragraphedeliste"/>
        <w:numPr>
          <w:ilvl w:val="0"/>
          <w:numId w:val="32"/>
        </w:numPr>
        <w:ind w:left="567"/>
      </w:pPr>
      <w:r>
        <w:t>L’appartenance du certificat du signataire à l’une des catégories de certificats qualifiés ;</w:t>
      </w:r>
    </w:p>
    <w:p w14:paraId="55330582" w14:textId="77777777">
      <w:pPr>
        <w:pStyle w:val="Paragraphedeliste"/>
        <w:numPr>
          <w:ilvl w:val="0"/>
          <w:numId w:val="32"/>
        </w:numPr>
        <w:ind w:left="567"/>
      </w:pPr>
      <w:r>
        <w:t>Le respect du format de signature susmentionnés ;</w:t>
      </w:r>
    </w:p>
    <w:p w14:paraId="21673282" w14:textId="77777777">
      <w:pPr>
        <w:pStyle w:val="Paragraphedeliste"/>
        <w:numPr>
          <w:ilvl w:val="0"/>
          <w:numId w:val="32"/>
        </w:numPr>
        <w:ind w:left="567"/>
      </w:pPr>
      <w:r>
        <w:t>Le caractère non échu et non révoqué du certificat à la date de la signature ;</w:t>
      </w:r>
    </w:p>
    <w:p w14:paraId="0F095662" w14:textId="77777777">
      <w:pPr>
        <w:pStyle w:val="Paragraphedeliste"/>
        <w:numPr>
          <w:ilvl w:val="0"/>
          <w:numId w:val="32"/>
        </w:numPr>
        <w:ind w:left="567"/>
      </w:pPr>
      <w:r>
        <w:t>L’intégrité du document signé.</w:t>
      </w:r>
    </w:p>
    <w:p w14:paraId="7443A712" w14:textId="77777777">
      <w:pPr>
        <w:ind w:left="567"/>
      </w:pPr>
    </w:p>
    <w:p w14:paraId="626D4397" w14:textId="671A0811">
      <w:r>
        <w:t xml:space="preserve">La signature du DCE ne vaut pas signature des documents qui en </w:t>
      </w:r>
      <w:r>
        <w:t>requiert</w:t>
      </w:r>
      <w:r>
        <w:t xml:space="preserve"> une. La signature électronique doit être apposée, à peine de nullité, sur chaque document </w:t>
      </w:r>
      <w:r>
        <w:t>devant être signé</w:t>
      </w:r>
      <w:r>
        <w:t xml:space="preserve">. </w:t>
      </w:r>
    </w:p>
    <w:p w14:paraId="14C6E0FC" w14:textId="77777777"/>
    <w:p w14:paraId="2CB1D0F4" w14:textId="77777777">
      <w:r>
        <w:t>Le signataire doit être habilité à engager l’entreprise qu’il représente.</w:t>
      </w:r>
    </w:p>
    <w:p w14:paraId="3CA9FD54" w14:textId="77777777"/>
    <w:p w14:paraId="60684D70" w14:textId="45FD9914">
      <w:r>
        <w:t xml:space="preserve">Les candidats/soumissionnaires choisissent les certificats de signature de leur choix</w:t>
      </w:r>
      <w:r>
        <w:t/>
      </w:r>
      <w:r>
        <w:t>, dans le respect de l’arrêté mentionné à l’alinéa précédent. Ce certificat doit être qualifié.</w:t>
      </w:r>
    </w:p>
    <w:p w14:paraId="1C6FBE4C" w14:textId="77777777"/>
    <w:p w14:paraId="05E41FB6" w14:textId="447A4366">
      <w:r>
        <w:t xml:space="preserve">Le mode d’emploi permettant de procéder à la vérification de la validité de la signature électronique est mis gratuitement à la disposition </w:t>
      </w:r>
      <w:r>
        <w:t xml:space="preserve">de la ville d’Aubervilliers </w:t>
      </w:r>
      <w:r>
        <w:t>lors du dépôt de document</w:t>
      </w:r>
      <w:r>
        <w:t>s</w:t>
      </w:r>
      <w:r>
        <w:t xml:space="preserve"> signé</w:t>
      </w:r>
      <w:r>
        <w:t>s</w:t>
      </w:r>
      <w:r>
        <w:t>.</w:t>
      </w:r>
    </w:p>
    <w:p w14:paraId="1BA14224" w14:textId="77777777"/>
    <w:p w14:paraId="14731B53" w14:textId="54E4CA38">
      <w:pPr>
        <w:pBdr>
          <w:top w:val="single" w:sz="4" w:space="1" w:color="auto"/>
          <w:left w:val="single" w:sz="4" w:space="4" w:color="auto"/>
          <w:bottom w:val="single" w:sz="4" w:space="1" w:color="auto"/>
          <w:right w:val="single" w:sz="4" w:space="4" w:color="auto"/>
        </w:pBdr>
        <w:shd w:val="clear" w:color="auto" w:fill="D9D9D9"/>
      </w:pPr>
      <w:r>
        <w:t>La signature scannée n’est pas considérée comme</w:t>
      </w:r>
      <w:r>
        <w:t xml:space="preserve"> une</w:t>
      </w:r>
      <w:r>
        <w:t xml:space="preserve"> signature électronique ; elle n’a aucune valeur juridique, à moins qu’elle ne soit incontestablement celle du représentant légal du candidat, qu’elle permet d’identifier son auteur</w:t>
      </w:r>
      <w:r>
        <w:t>,</w:t>
      </w:r>
      <w:r>
        <w:t xml:space="preserve"> et que celui-ci est habilité à signer </w:t>
      </w:r>
      <w:r>
        <w:t>l’accord-cadre</w:t>
      </w:r>
      <w:r>
        <w:t>.</w:t>
      </w:r>
    </w:p>
    <w:p w14:paraId="74316AFF" w14:textId="7CAC66B8">
      <w:pPr>
        <w:pStyle w:val="Titre1"/>
        <w:keepNext/>
        <w:rPr/>
      </w:pPr>
      <w:bookmarkStart w:id="54" w:name="_Toc219905990"/>
      <w:r>
        <w:rPr/>
        <w:t xml:space="preserve">ARTICLE 6 – </w:t>
      </w:r>
      <w:r>
        <w:rPr/>
        <w:t xml:space="preserve">RENSEIGNEMENTS </w:t>
      </w:r>
      <w:bookmarkEnd w:id="41"/>
      <w:bookmarkEnd w:id="53"/>
      <w:r>
        <w:rPr/>
        <w:t>COMPLÉMENTAIRES</w:t>
      </w:r>
      <w:bookmarkEnd w:id="54"/>
    </w:p>
    <w:p w14:paraId="1AF79C8C" w14:textId="77777777">
      <w:pPr>
        <w:rPr>
          <w:noProof/>
        </w:rPr>
      </w:pPr>
      <w:bookmarkStart w:id="55" w:name="_Toc108008353"/>
      <w:r>
        <w:rPr>
          <w:noProof/>
        </w:rPr>
        <w:t xml:space="preserve">Pour obtenir tous renseignements complémentaires qui leur seraient nécessaires, les candidats devront utiliser le profil candidat via la plateforme Maximilien. </w:t>
      </w:r>
    </w:p>
    <w:p w14:paraId="283D5FA8" w14:textId="77777777">
      <w:pPr>
        <w:rPr>
          <w:noProof/>
        </w:rPr>
      </w:pPr>
    </w:p>
    <w:p w14:paraId="558B7DBB" w14:textId="268CC11A">
      <w:pPr>
        <w:rPr>
          <w:noProof/>
        </w:rPr>
      </w:pPr>
      <w:r>
        <w:rPr>
          <w:noProof/>
        </w:rPr>
        <w:t xml:space="preserve">Toutes les demandes de renseignements adressées, huit (8) jours au plus tard avant la date limite de remise des candidatures et des offres, par les candidats </w:t>
      </w:r>
      <w:r>
        <w:rPr>
          <w:noProof/>
        </w:rPr>
        <w:t xml:space="preserve">à la ville d’Aubervilliers </w:t>
      </w:r>
      <w:r>
        <w:rPr>
          <w:noProof/>
        </w:rPr>
        <w:t xml:space="preserve">et les réponses correspondantes se feront par cette dernière obligatoirement</w:t>
      </w:r>
      <w:r>
        <w:rPr>
          <w:noProof/>
        </w:rPr>
        <w:t xml:space="preserve"/>
      </w:r>
      <w:r>
        <w:rPr>
          <w:noProof/>
        </w:rPr>
        <w:t xml:space="preserve"> via la plateforme, au plus tard dans les six (6) jours avant la date limite de réception des offres.</w:t>
      </w:r>
    </w:p>
    <w:p w14:paraId="636356A2" w14:textId="77777777">
      <w:pPr>
        <w:rPr>
          <w:noProof/>
        </w:rPr>
      </w:pPr>
    </w:p>
    <w:p w14:paraId="74FF6DAC" w14:textId="77777777">
      <w:pPr>
        <w:rPr>
          <w:noProof/>
        </w:rPr>
      </w:pPr>
      <w:r>
        <w:rPr>
          <w:noProof/>
        </w:rPr>
        <w:t>Une réponse commune est alors portée au plus tard six jours avant la date limite de dépôt des candidatures et des offres.</w:t>
      </w:r>
    </w:p>
    <w:p w14:paraId="061F641C" w14:textId="77777777">
      <w:pPr>
        <w:rPr>
          <w:noProof/>
        </w:rPr>
      </w:pPr>
    </w:p>
    <w:p w14:paraId="7D504D20" w14:textId="77777777">
      <w:pPr>
        <w:rPr>
          <w:noProof/>
        </w:rPr>
      </w:pPr>
      <w:r>
        <w:rPr>
          <w:noProof/>
        </w:rPr>
        <w:t>Si la date limite de remise des candidatures et des offres est modifiée, la stipulation précédente s’appliquera en fonction de cette nouvelle date limite.</w:t>
      </w:r>
    </w:p>
    <w:p w14:paraId="7642EF0B" w14:textId="774F2824">
      <w:pPr>
        <w:pStyle w:val="Titre1"/>
        <w:keepNext/>
        <w:rPr/>
      </w:pPr>
      <w:bookmarkStart w:id="56" w:name="_Toc219905991"/>
      <w:r>
        <w:rPr/>
        <w:t xml:space="preserve">ARTICLE 7 – </w:t>
      </w:r>
      <w:r>
        <w:rPr/>
        <w:t xml:space="preserve">MODIFICATI</w:t>
      </w:r>
      <w:r>
        <w:rPr/>
        <w:t>ON DE DÉTAIL DU</w:t>
      </w:r>
      <w:r>
        <w:rPr/>
        <w:t xml:space="preserve"> DOSSIER DE</w:t>
      </w:r>
      <w:r>
        <w:rPr/>
        <w:t xml:space="preserve"> LA</w:t>
      </w:r>
      <w:r>
        <w:rPr/>
        <w:t xml:space="preserve"> CONSULTATION</w:t>
      </w:r>
      <w:bookmarkEnd w:id="55"/>
      <w:bookmarkEnd w:id="56"/>
    </w:p>
    <w:p w14:paraId="00D9718F" w14:textId="7BB6FE5A">
      <w:pPr>
        <w:rPr>
          <w:noProof/>
        </w:rPr>
      </w:pPr>
      <w:r>
        <w:rPr>
          <w:noProof/>
        </w:rPr>
        <w:t>L</w:t>
      </w:r>
      <w:r>
        <w:rPr>
          <w:noProof/>
        </w:rPr>
        <w:t xml:space="preserve">a ville d’Aubervilliers </w:t>
      </w:r>
      <w:r>
        <w:rPr>
          <w:noProof/>
        </w:rPr>
        <w:t xml:space="preserve">se réserve le droit d’apporter au plus tard dans les six (6) jours avant la date limite fixée pour la remise des offres, des modifications de détail au Dossier de Consultation. </w:t>
      </w:r>
    </w:p>
    <w:p w14:paraId="30E63877" w14:textId="77777777">
      <w:pPr>
        <w:rPr>
          <w:noProof/>
        </w:rPr>
      </w:pPr>
    </w:p>
    <w:p w14:paraId="2803F24F" w14:textId="5CC3D8F2">
      <w:pPr>
        <w:rPr>
          <w:noProof/>
        </w:rPr>
      </w:pPr>
      <w:r>
        <w:rPr>
          <w:noProof/>
        </w:rPr>
        <w:t>Si, pendant l’étude du dossier par les candidats, la date limite fixée pour la remise des offres est reportée à une date ultérieure, la disposition précédente est applicable en fonction de cette nouvelle date.</w:t>
      </w:r>
    </w:p>
    <w:p w14:paraId="3A73830D" w14:textId="77777777">
      <w:pPr>
        <w:rPr>
          <w:noProof/>
        </w:rPr>
      </w:pPr>
      <w:r>
        <w:rPr>
          <w:noProof/>
        </w:rPr>
        <w:t>Ces modifications seront signifiées aux candidats par courriel ainsi que sur la plateforme dématérialisée de la collectivité. Si une telle modification devait intervenir, une prolongation du délai de remise des offres pourrait être autorisée par la ville d’Aubervilliers.</w:t>
      </w:r>
    </w:p>
    <w:p w14:paraId="7C774A58" w14:textId="77777777">
      <w:pPr>
        <w:rPr>
          <w:noProof/>
        </w:rPr>
      </w:pPr>
    </w:p>
    <w:p w14:paraId="58F648AA" w14:textId="5562595C">
      <w:pPr>
        <w:rPr>
          <w:noProof/>
        </w:rPr>
      </w:pPr>
      <w:r>
        <w:rPr>
          <w:noProof/>
        </w:rPr>
        <w:t>Les candidats devront alors répondre sur la base du dossier modifié sans pouvoir élever aucune réclamation à ce sujet.</w:t>
      </w:r>
    </w:p>
    <w:p w14:paraId="0C1697B3" w14:textId="5351584C">
      <w:pPr>
        <w:pStyle w:val="Titre1"/>
        <w:keepNext/>
        <w:rPr/>
      </w:pPr>
      <w:bookmarkStart w:id="57" w:name="_Toc219905992"/>
      <w:r>
        <w:rPr/>
        <w:t xml:space="preserve">ARTICLE 8 – </w:t>
      </w:r>
      <w:r>
        <w:rPr/>
        <w:t xml:space="preserve">ABANDON DE LA </w:t>
      </w:r>
      <w:r>
        <w:rPr/>
        <w:t>PROCÉDURE</w:t>
      </w:r>
      <w:bookmarkEnd w:id="57"/>
    </w:p>
    <w:p w14:paraId="155B9060" w14:textId="5D142325">
      <w:r>
        <w:t xml:space="preserve">La ville d’Aubervilliers peut, à tout moment, déclarer la présente procédure de passation sans suite. </w:t>
      </w:r>
    </w:p>
    <w:p w14:paraId="6895383A" w14:textId="77777777"/>
    <w:p w14:paraId="793FF8F7" w14:textId="736A584B">
      <w:r>
        <w:t>Le cas échéant, elle communique dans les plus brefs délais les motifs de sa décisi</w:t>
      </w:r>
      <w:r>
        <w:t xml:space="preserve">on de ne pas attribuer </w:t>
      </w:r>
      <w:r>
        <w:t>l’accord-cadre</w:t>
      </w:r>
      <w:r>
        <w:t xml:space="preserve"> ou de recommencer la procédure aux opérateurs économiques y ayant participé. </w:t>
      </w:r>
    </w:p>
    <w:p w14:paraId="42998F76" w14:textId="77777777"/>
    <w:p w14:paraId="29431244" w14:textId="25CC09DF">
      <w:r>
        <w:t>Les candidats/soumissionnaires n’ont droit à aucune indemnité de ce fait.</w:t>
      </w:r>
    </w:p>
    <w:p w14:paraId="012AC591" w14:textId="71ECD66B">
      <w:pPr>
        <w:pStyle w:val="Titre1"/>
        <w:keepNext/>
        <w:rPr/>
      </w:pPr>
      <w:bookmarkStart w:id="58" w:name="_Toc108008354"/>
      <w:bookmarkStart w:id="59" w:name="_Toc219905993"/>
      <w:r>
        <w:rPr/>
        <w:t xml:space="preserve">ARTICLE 9 – </w:t>
      </w:r>
      <w:r>
        <w:rPr/>
        <w:t xml:space="preserve">JUGEMENT DES CANDIDATURES ET DES OFFRES</w:t>
      </w:r>
      <w:bookmarkStart w:id="60" w:name="_Toc108008355"/>
      <w:bookmarkStart w:id="61" w:name="_Toc130036882"/>
      <w:bookmarkEnd w:id="58"/>
      <w:bookmarkEnd w:id="59"/>
    </w:p>
    <w:p w14:paraId="0B1C7649" w14:textId="1451C3BC">
      <w:pPr>
        <w:pStyle w:val="Titre2"/>
        <w:keepNext/>
        <w:rPr/>
      </w:pPr>
      <w:bookmarkStart w:id="62" w:name="_Toc219905994"/>
      <w:r>
        <w:rPr/>
        <w:t>9.</w:t>
      </w:r>
      <w:r>
        <w:rPr/>
        <w:t>1. Recevabilité des candidatures</w:t>
      </w:r>
      <w:bookmarkStart w:id="63" w:name="_Toc108008356"/>
      <w:bookmarkEnd w:id="60"/>
      <w:bookmarkEnd w:id="62"/>
    </w:p>
    <w:bookmarkEnd w:id="63"/>
    <w:p w14:paraId="55E6C6F6" w14:textId="77777777">
      <w:r>
        <w:t>Les capacités des candidats sont analysées en fonction du dossier présenté par le candidat.</w:t>
      </w:r>
    </w:p>
    <w:p w14:paraId="116BA223" w14:textId="77777777">
      <w:r>
        <w:t>Seront éliminées :</w:t>
      </w:r>
    </w:p>
    <w:p w14:paraId="6937D93A" w14:textId="77777777">
      <w:pPr>
        <w:pStyle w:val="Paragraphedeliste"/>
        <w:numPr>
          <w:ilvl w:val="0"/>
          <w:numId w:val="22"/>
        </w:numPr>
        <w:ind w:left="357" w:hanging="357"/>
      </w:pPr>
      <w:r>
        <w:t>Les candidatures qui ne peuvent soumissionner en application des articles L. 2141-1 à L. 2141-11 du Code de la commande publique.</w:t>
      </w:r>
    </w:p>
    <w:p w14:paraId="1E956EF9" w14:textId="77777777">
      <w:pPr>
        <w:pStyle w:val="Paragraphedeliste"/>
        <w:numPr>
          <w:ilvl w:val="0"/>
          <w:numId w:val="22"/>
        </w:numPr>
        <w:ind w:left="357" w:hanging="357"/>
        <w:rPr>
          <w:rFonts w:eastAsia="Times New Roman" w:ascii="Times New Roman" w:hAnsi="Times New Roman" w:cs="Times New Roman"/>
        </w:rPr>
      </w:pPr>
      <w:r>
        <w:t>Les candidatures qui ne sont pas accompagnées des pièces mentionnées à l’article 4.1 du présent document ;</w:t>
      </w:r>
    </w:p>
    <w:p w14:paraId="65CF0552" w14:textId="566A8631">
      <w:pPr>
        <w:pStyle w:val="Paragraphedeliste"/>
        <w:numPr>
          <w:ilvl w:val="0"/>
          <w:numId w:val="22"/>
        </w:numPr>
        <w:ind w:left="357" w:hanging="357"/>
      </w:pPr>
      <w:r>
        <w:t xml:space="preserve">Les candidatures ne répondant pas aux capacités professionnelles ainsi que techniques et financières prévues à l’article 4.1 du présent document exigé et en rapport avec l’objet, l’importance et la complexité </w:t>
      </w:r>
      <w:r>
        <w:t>de l’accord-cadre</w:t>
      </w:r>
      <w:r>
        <w:t>.</w:t>
      </w:r>
    </w:p>
    <w:p w14:paraId="520C03D6" w14:textId="77777777"/>
    <w:p w14:paraId="31FC1BE8" w14:textId="77777777">
      <w:r>
        <w:t xml:space="preserve">En cas de groupement, l’appréciation des capacités professionnelles, techniques et financières du groupement au regard des documents et renseignements demandés, se fera de manière globale. </w:t>
      </w:r>
    </w:p>
    <w:p w14:paraId="2FC77417" w14:textId="77777777"/>
    <w:p w14:paraId="11BD63E9" w14:textId="77777777">
      <w:r>
        <w:t>Il doit toutefois être bien précisé qu’avant de procéder à l’examen des candidatures, si le pouvoir adjudicateur constate que des pièces dont la production était requise sont absentes ou incomplètes, il pourrait demander à tous les candidats concernés de produire ou de compléter ces pièces dans un délai de trois (3) jours calendaires au maximum, conformément aux dispositions de l’article R. 2144-2 du Code de la commande publique. Le pouvoir adjudicateur informera les autres candidats qui auront la possibilité de compléter leur candidature dans le même délai.</w:t>
      </w:r>
    </w:p>
    <w:p w14:paraId="29AE950C" w14:textId="77777777"/>
    <w:p w14:paraId="2998B811" w14:textId="1EA6DF19">
      <w:pPr>
        <w:rPr>
          <w:rFonts w:eastAsia="Times New Roman" w:ascii="Times New Roman" w:hAnsi="Times New Roman" w:cs="Times New Roman"/>
        </w:rPr>
      </w:pPr>
      <w:r>
        <w:t xml:space="preserve">Si l’étude des candidatures et des offres démontre que plusieurs personnes morales différentes, qui constitueraient en principe des opérateurs distincts, n’ont pas d’autonomie, résultant notamment des liens étroits entre leurs actionnaires ou leurs dirigeants, qui peut se manifester par l’absence totale ou partielle de moyens distincts ou la similarité de leurs offres</w:t>
      </w:r>
      <w:r>
        <w:t/>
      </w:r>
      <w:r>
        <w:t xml:space="preserve"> pour un même marché/accord-cadre</w:t>
      </w:r>
      <w:r>
        <w:t/>
      </w:r>
      <w:r>
        <w:t/>
      </w:r>
      <w:r>
        <w:t/>
      </w:r>
      <w:r>
        <w:t>, ces personnes morales seront par conséquent regardées comme un seul et même candidats/soumissionnaire, conformément à la décision du Conseil d’État, n° 436532 en date du 8 décembre 2020, mentionnée aux tables du recueil Lebon.</w:t>
      </w:r>
    </w:p>
    <w:p w14:paraId="062FDA5E" w14:textId="17B74C82">
      <w:pPr>
        <w:pStyle w:val="Titre2"/>
        <w:keepNext/>
        <w:rPr/>
      </w:pPr>
      <w:bookmarkStart w:id="64" w:name="_Toc219905995"/>
      <w:r>
        <w:rPr/>
        <w:t>9.</w:t>
      </w:r>
      <w:r>
        <w:rPr/>
        <w:t>2. Recevabilité des offres</w:t>
      </w:r>
      <w:bookmarkEnd w:id="64"/>
      <w:r>
        <w:rPr/>
        <w:t xml:space="preserve"> </w:t>
      </w:r>
    </w:p>
    <w:p w14:paraId="74D8F58E" w14:textId="77777777">
      <w:pPr>
        <w:rPr>
          <w:noProof/>
        </w:rPr>
      </w:pPr>
      <w:r>
        <w:rPr>
          <w:noProof/>
        </w:rPr>
        <w:t>Les offres irrégulières, inappropriées ou inacceptables seront éliminées par la ville d’Aubervilliers, conformément aux articles L. 2152-1 et R. 2152-1 du Code de la commande publique.</w:t>
      </w:r>
    </w:p>
    <w:p w14:paraId="425133A5" w14:textId="77777777">
      <w:pPr>
        <w:rPr>
          <w:noProof/>
        </w:rPr>
      </w:pPr>
    </w:p>
    <w:p w14:paraId="46B8AC80" w14:textId="77777777">
      <w:pPr>
        <w:rPr>
          <w:noProof/>
        </w:rPr>
      </w:pPr>
      <w:r>
        <w:rPr>
          <w:noProof/>
        </w:rPr>
        <w:t xml:space="preserve">Toutefois, la ville d’Aubervilliers peut autoriser tous les soumissionnaires concernés à régulariser les offres irrégulières dans un délai approprié, à condition qu’elles ne soient pas anormalement basses. </w:t>
      </w:r>
    </w:p>
    <w:p w14:paraId="1CDD3E66" w14:textId="2D5052BC">
      <w:pPr>
        <w:rPr>
          <w:noProof/>
        </w:rPr>
      </w:pPr>
    </w:p>
    <w:p w14:paraId="6EAF9DA7" w14:textId="4462A134">
      <w:r>
        <w:t>Une offre irrégulière est une offre qui ne respecte pas les exigences formulées dans les documents de</w:t>
      </w:r>
      <w:r>
        <w:rPr>
          <w:noProof/>
        </w:rPr>
        <w:t xml:space="preserve"> </w:t>
      </w:r>
      <w:r>
        <w:t>la consultation, en particulier parce qu'elle est incomplète, ou qui méconnaît la législation applicable</w:t>
      </w:r>
      <w:r>
        <w:rPr>
          <w:noProof/>
        </w:rPr>
        <w:t xml:space="preserve"> </w:t>
      </w:r>
      <w:r>
        <w:t>notamment en matière sociale et environnementale.</w:t>
      </w:r>
    </w:p>
    <w:p w14:paraId="16CF1F56" w14:textId="636DC51A"/>
    <w:p w14:paraId="178CC434" w14:textId="2508B867">
      <w:r>
        <w:t>Il est à noter qu’une offre à zéro euro est considérée comme irrégulière dans le cadre de la présente consultation. Par conséquent, les soumissionnaires doivent chiffrer, à peine d’irrégularité, tous les éléments qui constituent leur offre financière. Il en est ainsi</w:t>
      </w:r>
      <w:r>
        <w:t>,</w:t>
      </w:r>
      <w:r>
        <w:t xml:space="preserve"> </w:t>
      </w:r>
      <w:r>
        <w:t>par exemple</w:t>
      </w:r>
      <w:r>
        <w:t>,</w:t>
      </w:r>
      <w:r>
        <w:t xml:space="preserve"> </w:t>
      </w:r>
      <w:r>
        <w:t>de chaque élément du bordereau des prix unitaires.</w:t>
      </w:r>
    </w:p>
    <w:p w14:paraId="623FFE43" w14:textId="7C433411"/>
    <w:p w14:paraId="4C0A2E13" w14:textId="099B0A7E">
      <w:r>
        <w:t>Une offre inacceptable est une offre dont le prix excède les crédits budgétaires alloués au marché / à l’accord-cadre</w:t>
      </w:r>
      <w:r>
        <w:t/>
      </w:r>
      <w:r>
        <w:t xml:space="preserve"/>
      </w:r>
      <w:r>
        <w:t/>
      </w:r>
      <w:r>
        <w:t xml:space="preserve"/>
      </w:r>
      <w:r>
        <w:t/>
      </w:r>
      <w:r>
        <w:t>, déterminés et établis avant le lancement de la procédure.</w:t>
      </w:r>
    </w:p>
    <w:p w14:paraId="3D9671A9" w14:textId="77777777"/>
    <w:p w14:paraId="4F93234E" w14:textId="127EFF28">
      <w:r>
        <w:t xml:space="preserve">Une offre inappropriée est une offre sans rapport avec le marché/l’accord-cadre</w:t>
      </w:r>
      <w:r>
        <w:t/>
      </w:r>
      <w:r>
        <w:t/>
      </w:r>
      <w:r>
        <w:t/>
      </w:r>
      <w:r>
        <w:t xml:space="preserve"> parce qu'elle n'est manifestement pas en mesure, sans modification substantielle, de répondre au besoin et aux exigences de l'acheteur qui sont formulés dans les documents de la consultation.</w:t>
      </w:r>
    </w:p>
    <w:p w14:paraId="5104FF71" w14:textId="35516B7F">
      <w:pPr>
        <w:pStyle w:val="Titre2"/>
        <w:keepNext/>
        <w:rPr/>
      </w:pPr>
      <w:bookmarkStart w:id="65" w:name="_Toc108008357"/>
      <w:bookmarkStart w:id="66" w:name="_Toc219905996"/>
      <w:r>
        <w:rPr/>
        <w:t>9.</w:t>
      </w:r>
      <w:r>
        <w:rPr/>
        <w:t>3. Jugement des offres</w:t>
      </w:r>
      <w:bookmarkEnd w:id="61"/>
      <w:bookmarkEnd w:id="65"/>
      <w:bookmarkEnd w:id="66"/>
    </w:p>
    <w:p w14:paraId="1D9A7316" w14:textId="0F4A5AD7">
      <w:pPr>
        <w:rPr>
          <w:noProof/>
        </w:rPr>
      </w:pPr>
      <w:r>
        <w:rPr>
          <w:noProof/>
        </w:rPr>
        <w:t>L’analyse des offres sera effectuée dans les conditions prévues à l’article R. 2152-7 du Code de la commande publique, en f</w:t>
      </w:r>
      <w:r>
        <w:rPr>
          <w:noProof/>
        </w:rPr>
        <w:t>onction des critères ci-dessous :</w:t>
      </w:r>
    </w:p>
    <w:p w14:paraId="328B974A" w14:textId="77777777">
      <w:pPr>
        <w:rPr>
          <w:noProof/>
        </w:rPr>
      </w:pPr>
    </w:p>
    <w:p w14:paraId="0B60D1CD" w14:textId="5AC5CB31">
      <w:r>
        <w:rPr>
          <w:b/>
          <w:u w:val="single"/>
        </w:rPr>
        <w:t>1</w:t>
      </w:r>
      <w:r>
        <w:rPr>
          <w:b/>
          <w:u w:val="single"/>
        </w:rPr>
        <w:t xml:space="preserve">- Le critère valeur technique de l'offre, noté sur 50 points sur la base du cadre de mémoire technique et environnemental, selon</w:t>
      </w:r>
      <w:r>
        <w:rPr>
          <w:b/>
          <w:u w:val="single"/>
        </w:rPr>
        <w:t/>
      </w:r>
      <w:r>
        <w:rPr>
          <w:b/>
          <w:u w:val="single"/>
        </w:rPr>
        <w:t xml:space="preserve"/>
      </w:r>
      <w:r>
        <w:t xml:space="preserve"> les appréciations suivantes :</w:t>
      </w:r>
    </w:p>
    <w:p w14:paraId="1C5D6577" w14:textId="77777777"/>
    <w:p w14:paraId="460A3E5A" w14:textId="781E56D0">
      <w:pPr>
        <w:tabs>
          <w:tab w:val="left" w:pos="9498"/>
          <w:tab w:val="left" w:pos="9639"/>
          <w:tab w:val="left" w:pos="10206"/>
        </w:tabs>
        <w:ind w:right="-2"/>
      </w:pPr>
      <w:r>
        <w:t xml:space="preserve">- </w:t>
      </w:r>
      <w:r>
        <w:t xml:space="preserve">La description de l’organisation dédiée à l’accord-cadre</w:t>
      </w:r>
      <w:r>
        <w:t/>
      </w:r>
      <w:r>
        <w:t xml:space="preserve"> : équipe dédiée et expérience des</w:t>
      </w:r>
      <w:r>
        <w:t xml:space="preserve"> </w:t>
      </w:r>
      <w:r>
        <w:t xml:space="preserve">techniciens, encadrement et moyens techniques mobilisés : </w:t>
      </w:r>
      <w:r>
        <w:rPr>
          <w:b/>
        </w:rPr>
        <w:t>30</w:t>
      </w:r>
      <w:r>
        <w:rPr>
          <w:b/>
        </w:rPr>
        <w:t xml:space="preserve"> point</w:t>
      </w:r>
      <w:r>
        <w:rPr>
          <w:b/>
        </w:rPr>
        <w:t>s</w:t>
      </w:r>
    </w:p>
    <w:p w14:paraId="1206DE69" w14:textId="77777777">
      <w:pPr>
        <w:tabs>
          <w:tab w:val="left" w:pos="9498"/>
          <w:tab w:val="left" w:pos="9639"/>
          <w:tab w:val="left" w:pos="10206"/>
        </w:tabs>
        <w:ind w:right="-2"/>
        <w:rPr>
          <w:rFonts w:eastAsia="Times New Roman" w:cs="Times New Roman" w:ascii="Times New Roman" w:hAnsi="Times New Roman"/>
          <w:szCs w:val="24"/>
        </w:rPr>
      </w:pPr>
    </w:p>
    <w:p w14:paraId="2C8F2236" w14:textId="77777777">
      <w:pPr>
        <w:ind w:right="-2"/>
        <w:rPr>
          <w:b/>
        </w:rPr>
      </w:pPr>
      <w:r>
        <w:t>- La méthodologie proposée pour l’exécution des opérations de maintenance, des actions</w:t>
      </w:r>
      <w:r>
        <w:t xml:space="preserve"> </w:t>
      </w:r>
      <w:r>
        <w:t xml:space="preserve">correctives : gestion des commandes, traçabilité des interventions, mode opératoire et délais de remise en service des appareils en panne, mode opératoire pour assurer la compatibilité des pièces de rechange avec le parc existant, organisation de l'astreinte : </w:t>
      </w:r>
      <w:r>
        <w:rPr>
          <w:b/>
        </w:rPr>
        <w:t>20 points</w:t>
      </w:r>
    </w:p>
    <w:p w14:paraId="2C8F2236" w14:textId="77777777">
      <w:pPr>
        <w:ind w:right="-2"/>
        <w:rPr>
          <w:b/>
        </w:rPr>
      </w:pPr>
      <w:r>
        <w:t/>
      </w:r>
    </w:p>
    <w:p w14:paraId="2C8F2236" w14:textId="77777777">
      <w:pPr>
        <w:ind w:right="-2"/>
        <w:rPr>
          <w:b/>
        </w:rPr>
      </w:pPr>
      <w:r>
        <w:t>Les délais de remise en service proposés courent à compter de l’intervention du technicien, qui a lieu dans les délais maximums de l’article 5 de l’acte d’engagement, que l’offre ne peut allonger. Ils sont distincts du délai de mise en conformité d’une prestation non conforme, fixé à l’article 6.1 du CCAP. Ils engagent le titulaire : l’article 1.2 du CCTP en fait son délai de remise en service, dans la limite de deux (2) jours ouvrés après l’intervention, et l’article 11.3 du CCAP en sanctionne le dépassement.</w:t>
      </w:r>
    </w:p>
    <w:p w14:paraId="6DFE81C5" w14:textId="77777777">
      <w:pPr>
        <w:ind w:right="-2"/>
      </w:pPr>
    </w:p>
    <w:p w14:paraId="57C5447F" w14:textId="5A83F992">
      <w:pPr>
        <w:ind w:right="-2"/>
        <w:rPr>
          <w:noProof/>
        </w:rPr>
      </w:pPr>
      <w:r>
        <w:rPr>
          <w:b/>
        </w:rPr>
        <w:t>Nota </w:t>
      </w:r>
      <w:r>
        <w:t xml:space="preserve">: Seuls les CV de l’équipe dédiée à l’exécution </w:t>
      </w:r>
      <w:r>
        <w:t>de l’accord-cadre</w:t>
      </w:r>
      <w:r>
        <w:t xml:space="preserve"> qui seront annexés au cadre de mémoire technique et environnemental seront pris en compte par la Ville d’Aubervilliers.</w:t>
      </w:r>
      <w:r>
        <w:t xml:space="preserve"> </w:t>
      </w:r>
    </w:p>
    <w:p w14:paraId="2C8F2236" w14:textId="77777777">
      <w:pPr>
        <w:ind w:right="-2"/>
        <w:rPr>
          <w:b/>
        </w:rPr>
      </w:pPr>
      <w:r>
        <w:t/>
      </w:r>
    </w:p>
    <w:p w14:paraId="0B60D1CD" w14:textId="5AC5CB31">
      <w:pPr>
        <w:keepNext/>
      </w:pPr>
      <w:r>
        <w:rPr>
          <w:b/>
          <w:u w:val="single"/>
        </w:rPr>
        <w:t>2- Le critère performance environnementale de l’offre, noté sur 10 points</w:t>
      </w:r>
      <w:r>
        <w:rPr>
          <w:b w:val="0"/>
          <w:u w:val="none"/>
        </w:rPr>
        <w:t xml:space="preserve"> sur la base du cadre de mémoire technique et environnemental, au vu des engagements précis et mesurables que l’offre prend pour l’exécution de l’accord-cadre sur les éléments suivants :</w:t>
      </w:r>
    </w:p>
    <w:p w14:paraId="2C8F2236" w14:textId="77777777">
      <w:pPr>
        <w:ind w:right="-2"/>
        <w:rPr>
          <w:b/>
        </w:rPr>
      </w:pPr>
      <w:r>
        <w:t/>
      </w:r>
    </w:p>
    <w:p w14:paraId="2C8F2236" w14:textId="77777777">
      <w:pPr>
        <w:ind w:right="-2"/>
        <w:rPr>
          <w:b/>
        </w:rPr>
      </w:pPr>
      <w:r>
        <w:t>- la gestion des déchets et des DEEE issus des interventions : filières de reprise des pièces remplacées, des DEEE et des emballages, documents de suivi remis à la Ville, part des déchets valorisée ;</w:t>
      </w:r>
    </w:p>
    <w:p w14:paraId="2C8F2236" w14:textId="77777777">
      <w:pPr>
        <w:ind w:right="-2"/>
        <w:rPr>
          <w:b/>
        </w:rPr>
      </w:pPr>
      <w:r>
        <w:t/>
      </w:r>
    </w:p>
    <w:p w14:paraId="2C8F2236" w14:textId="77777777">
      <w:pPr>
        <w:ind w:right="-2"/>
        <w:rPr>
          <w:b/>
        </w:rPr>
      </w:pPr>
      <w:r>
        <w:t>- la réparabilité et le reconditionnement : composants que le candidat s’engage à réparer ou à reconditionner plutôt qu’à remplacer, et moyens qu’il y consacre ;</w:t>
      </w:r>
    </w:p>
    <w:p w14:paraId="2C8F2236" w14:textId="77777777">
      <w:pPr>
        <w:ind w:right="-2"/>
        <w:rPr>
          <w:b/>
        </w:rPr>
      </w:pPr>
      <w:r>
        <w:t/>
      </w:r>
    </w:p>
    <w:p w14:paraId="2C8F2236" w14:textId="77777777">
      <w:pPr>
        <w:ind w:right="-2"/>
        <w:rPr>
          <w:b/>
        </w:rPr>
      </w:pPr>
      <w:r>
        <w:t>- les déplacements entre les sites : véhicules affectés à l’accord-cadre, leur motorisation et leur norme d’émission, organisation des tournées et regroupement des interventions, kilomètres estimés par an.</w:t>
      </w:r>
    </w:p>
    <w:p w14:paraId="45DD489A" w14:textId="77777777">
      <w:pPr>
        <w:rPr>
          <w:noProof/>
        </w:rPr>
      </w:pPr>
    </w:p>
    <w:p w14:paraId="493DC50B" w14:textId="77777777">
      <w:pPr>
        <w:rPr>
          <w:noProof/>
        </w:rPr>
      </w:pPr>
    </w:p>
    <w:p w14:paraId="61BD1DB9" w14:textId="79AA07AC">
      <w:pPr>
        <w:keepNext/>
        <w:rPr>
          <w:b/>
          <w:bCs/>
        </w:rPr>
      </w:pPr>
      <w:r>
        <w:rPr>
          <w:b/>
          <w:bCs/>
          <w:u w:val="single"/>
        </w:rPr>
        <w:t>3- Le critère valeur financière de l’offre</w:t>
      </w:r>
      <w:r>
        <w:rPr>
          <w:b/>
          <w:bCs/>
          <w:u w:val="single"/>
        </w:rPr>
        <w:t xml:space="preserve">, noté </w:t>
      </w:r>
      <w:r>
        <w:rPr>
          <w:b/>
          <w:bCs/>
          <w:u w:val="single"/>
        </w:rPr>
        <w:t>4</w:t>
      </w:r>
      <w:r>
        <w:rPr>
          <w:b/>
          <w:bCs/>
          <w:u w:val="single"/>
        </w:rPr>
        <w:t>0</w:t>
      </w:r>
      <w:r>
        <w:rPr>
          <w:b/>
          <w:bCs/>
          <w:u w:val="single"/>
        </w:rPr>
        <w:t xml:space="preserve"> points,</w:t>
      </w:r>
      <w:r>
        <w:rPr>
          <w:b/>
          <w:bCs/>
        </w:rPr>
        <w:t xml:space="preserve"> réparti comme suit :</w:t>
      </w:r>
    </w:p>
    <w:p w14:paraId="2F2A1D2C" w14:textId="77777777">
      <w:pPr>
        <w:keepNext/>
      </w:pPr>
    </w:p>
    <w:p w14:paraId="7DADE816" w14:textId="5DCFC6FE">
      <w:pPr>
        <w:pStyle w:val="Paragraphedeliste"/>
        <w:numPr>
          <w:ilvl w:val="0"/>
          <w:numId w:val="44"/>
        </w:numPr>
        <w:ind w:left="567"/>
        <w:rPr>
          <w:iCs/>
          <w:noProof/>
        </w:rPr>
      </w:pPr>
      <w:r>
        <w:rPr>
          <w:b/>
        </w:rPr>
        <w:t>25</w:t>
      </w:r>
      <w:r>
        <w:rPr>
          <w:b/>
        </w:rPr>
        <w:t xml:space="preserve"> </w:t>
      </w:r>
      <w:r>
        <w:rPr>
          <w:b/>
          <w:iCs/>
          <w:noProof/>
        </w:rPr>
        <w:t>points</w:t>
      </w:r>
      <w:r>
        <w:rPr>
          <w:iCs/>
          <w:noProof/>
        </w:rPr>
        <w:t xml:space="preserve"> au vu du montant total de la décomposition du prix global et forfaitaire (DPGF) ;</w:t>
      </w:r>
      <w:r>
        <w:t xml:space="preserve"> </w:t>
      </w:r>
    </w:p>
    <w:p w14:paraId="13ADA2A9" w14:textId="77777777">
      <w:pPr>
        <w:pStyle w:val="Paragraphedeliste"/>
        <w:numPr>
          <w:ilvl w:val="0"/>
          <w:numId w:val="44"/>
        </w:numPr>
        <w:ind w:left="567"/>
        <w:rPr>
          <w:iCs/>
          <w:noProof/>
        </w:rPr>
      </w:pPr>
      <w:r>
        <w:rPr>
          <w:b/>
          <w:iCs/>
          <w:noProof/>
        </w:rPr>
        <w:t xml:space="preserve">15 </w:t>
      </w:r>
      <w:r>
        <w:rPr>
          <w:b/>
        </w:rPr>
        <w:t>points</w:t>
      </w:r>
      <w:r>
        <w:t xml:space="preserve"> au vu du montant total hors taxes du détail quantitatif et estimatif (D.Q.E) masqué (non transmis au DCE) </w:t>
      </w:r>
      <w:r>
        <w:rPr>
          <w:iCs/>
          <w:noProof/>
        </w:rPr>
        <w:t>;</w:t>
      </w:r>
    </w:p>
    <w:p w14:paraId="0745DAE1" w14:textId="77777777">
      <w:pPr>
        <w:rPr>
          <w:iCs/>
          <w:noProof/>
        </w:rPr>
      </w:pPr>
    </w:p>
    <w:p w14:paraId="530ED3CC" w14:textId="32CDB78A">
      <w:pPr>
        <w:pStyle w:val="Titre2"/>
        <w:keepNext/>
        <w:rPr/>
      </w:pPr>
      <w:bookmarkStart w:id="67" w:name="_Toc219905997"/>
      <w:r>
        <w:rPr/>
        <w:t>9.</w:t>
      </w:r>
      <w:r>
        <w:rPr/>
        <w:t>4. Possibilité d’analyse des offres avant les candi</w:t>
      </w:r>
      <w:r>
        <w:rPr/>
        <w:t>datu</w:t>
      </w:r>
      <w:r>
        <w:rPr/>
        <w:t>res</w:t>
      </w:r>
      <w:bookmarkEnd w:id="67"/>
    </w:p>
    <w:p w14:paraId="14CE7370" w14:textId="65991846">
      <w:r>
        <w:t>Conformément aux d</w:t>
      </w:r>
      <w:r>
        <w:t>ispositions de l’article R. 2161-4</w:t>
      </w:r>
      <w:r>
        <w:t xml:space="preserve"> du Code de la commande publique,</w:t>
      </w:r>
      <w:r>
        <w:t xml:space="preserve"> la ville d’Aubervilliers peut décider d’analyser les offres avant les candidatures. Elle veillera le cas échéant </w:t>
      </w:r>
      <w:r>
        <w:t xml:space="preserve">à examiner les candidatures de manière impartiale, et à ce que sa connaissance de la consistance des offres n’influe en rien </w:t>
      </w:r>
      <w:r>
        <w:t>son analyse des candidatures.</w:t>
      </w:r>
    </w:p>
    <w:p w14:paraId="67ED785F" w14:textId="77777777"/>
    <w:p w14:paraId="1399EA1E" w14:textId="0D9B8315">
      <w:r>
        <w:t>Au terme de l’analyse des offres seule</w:t>
      </w:r>
      <w:r>
        <w:t xml:space="preserve"> la candidature du candidat pressenti fera l’objet d’une </w:t>
      </w:r>
      <w:r>
        <w:t>éventuelle</w:t>
      </w:r>
      <w:r>
        <w:t xml:space="preserve"> </w:t>
      </w:r>
      <w:r>
        <w:t xml:space="preserve">demande de complément dans le délai que la ville d’Aubervilliers fixera. </w:t>
      </w:r>
    </w:p>
    <w:p w14:paraId="0C68030A" w14:textId="63D3DF46">
      <w:r>
        <w:t>À défaut pour celui-ci de fournir les documents requis</w:t>
      </w:r>
      <w:r>
        <w:t xml:space="preserve"> dans le délai imparti</w:t>
      </w:r>
      <w:r>
        <w:t>, le candidat</w:t>
      </w:r>
      <w:r>
        <w:t xml:space="preserve"> dont l’offre est</w:t>
      </w:r>
      <w:r>
        <w:t xml:space="preserve"> classé</w:t>
      </w:r>
      <w:r>
        <w:t>e</w:t>
      </w:r>
      <w:r>
        <w:t xml:space="preserve"> en deuxième place sera sollicité pour compléter sa candidature</w:t>
      </w:r>
      <w:r>
        <w:t xml:space="preserve"> dans un délai que la ville d’Aubervilliers fixera</w:t>
      </w:r>
      <w:r>
        <w:t>,</w:t>
      </w:r>
      <w:r>
        <w:t xml:space="preserve"> et ainsi de suite.</w:t>
      </w:r>
    </w:p>
    <w:p w14:paraId="24CF9F72" w14:textId="3783E8FF">
      <w:r>
        <w:t>Cette demande de complément s’arrêtera dès</w:t>
      </w:r>
      <w:r>
        <w:t xml:space="preserve"> que le soumissionnaire sollicité a complété</w:t>
      </w:r>
      <w:r>
        <w:t xml:space="preserve"> sa candidature dans le délai imparti qui lui a été fixé par la ville d’Aubervilliers.</w:t>
      </w:r>
    </w:p>
    <w:p w14:paraId="53D2FBD8" w14:textId="3F5701F1">
      <w:pPr>
        <w:pStyle w:val="Titre2"/>
        <w:keepNext/>
        <w:rPr/>
      </w:pPr>
      <w:bookmarkStart w:id="68" w:name="_Toc219905998"/>
      <w:r>
        <w:t>9.5. Absence de négociation</w:t>
      </w:r>
      <w:bookmarkEnd w:id="68"/>
    </w:p>
    <w:p w14:paraId="17C15086" w14:textId="2E78229B">
      <w:r>
        <w:t>Conformément aux articles L. 2124-2 et R. 2161-5 du Code de la commande publique, la ville d’Aubervilliers attribue l’accord-cadre sur la base des offres initiales, sans négociation. Elle peut seulement demander aux soumissionnaires de préciser la teneur de leur offre.</w:t>
      </w:r>
    </w:p>
    <w:p w14:paraId="326F2994" w14:textId="3F7CCA6B">
      <w:pPr>
        <w:pStyle w:val="Titre1"/>
        <w:keepNext/>
        <w:rPr/>
      </w:pPr>
      <w:bookmarkStart w:id="69" w:name="_Toc108008359"/>
      <w:bookmarkStart w:id="70" w:name="_Toc219905999"/>
      <w:r>
        <w:rPr/>
        <w:t xml:space="preserve">ARTICLE 10 – </w:t>
      </w:r>
      <w:r>
        <w:rPr/>
        <w:t xml:space="preserve">RÉSULTATS DE LA CONSULTATION</w:t>
      </w:r>
      <w:bookmarkEnd w:id="69"/>
      <w:bookmarkEnd w:id="70"/>
      <w:r>
        <w:rPr/>
        <w:t xml:space="preserve"> </w:t>
      </w:r>
    </w:p>
    <w:p w14:paraId="65B74752" w14:textId="49669639">
      <w:pPr>
        <w:rPr>
          <w:noProof/>
        </w:rPr>
      </w:pPr>
      <w:r>
        <w:rPr>
          <w:noProof/>
        </w:rPr>
        <w:t xml:space="preserve">Les </w:t>
      </w:r>
      <w:r>
        <w:rPr>
          <w:noProof/>
        </w:rPr>
        <w:t>offres régulières, acceptables et appropriées, et qui n’ont pas été rejetées comme</w:t>
      </w:r>
      <w:r>
        <w:rPr>
          <w:noProof/>
        </w:rPr>
        <w:t xml:space="preserve"> an</w:t>
      </w:r>
      <w:r>
        <w:rPr>
          <w:noProof/>
        </w:rPr>
        <w:t>ormalement basses, sont classées par ordre décroissant en application des critères d’attribution mentionnés dans le présent Règlement de consultation.</w:t>
      </w:r>
    </w:p>
    <w:p w14:paraId="20642962" w14:textId="14824C56">
      <w:pPr>
        <w:rPr>
          <w:noProof/>
        </w:rPr>
      </w:pPr>
      <w:r>
        <w:rPr>
          <w:noProof/>
        </w:rPr>
        <w:t>Une fois que la ville d’Aubervilliers a fait son choix sur les ca</w:t>
      </w:r>
      <w:r>
        <w:rPr>
          <w:noProof/>
        </w:rPr>
        <w:t>ndidatures et sur les offres, elle</w:t>
      </w:r>
      <w:r>
        <w:rPr>
          <w:noProof/>
        </w:rPr>
        <w:t xml:space="preserve"> en informe, par courrier notifié via la plateforme Maximilien, tout candidat retenu ou écarté.</w:t>
      </w:r>
    </w:p>
    <w:p w14:paraId="3D9464C6" w14:textId="77777777">
      <w:pPr>
        <w:rPr>
          <w:noProof/>
        </w:rPr>
      </w:pPr>
    </w:p>
    <w:p w14:paraId="00EAE769" w14:textId="77777777">
      <w:pPr>
        <w:rPr>
          <w:noProof/>
        </w:rPr>
      </w:pPr>
      <w:r>
        <w:rPr>
          <w:noProof/>
        </w:rPr>
        <w:t>Les motifs de rejet d’une candidature ou d’une offre sont mentionnés dans le courrier de notification de ce rejet.</w:t>
      </w:r>
    </w:p>
    <w:p w14:paraId="4EBC54B3" w14:textId="77777777">
      <w:pPr>
        <w:rPr>
          <w:noProof/>
        </w:rPr>
      </w:pPr>
    </w:p>
    <w:p w14:paraId="2A0A41A7" w14:textId="6773CA0B">
      <w:pPr>
        <w:rPr>
          <w:noProof/>
        </w:rPr>
      </w:pPr>
      <w:r>
        <w:rPr>
          <w:noProof/>
        </w:rPr>
        <w:t xml:space="preserve">Lorsque la notification de rejet intervient après l’attribution </w:t>
      </w:r>
      <w:r>
        <w:rPr>
          <w:noProof/>
        </w:rPr>
        <w:t>de l’accord-cadre</w:t>
      </w:r>
      <w:r>
        <w:rPr>
          <w:noProof/>
        </w:rPr>
        <w:t xml:space="preserve">, la ville d’Aubervilliers communique en outre le nom de l’attributaire ainsi que les motifs qui ont conduit au choix de son offre et la date à compter </w:t>
      </w:r>
      <w:r>
        <w:rPr>
          <w:noProof/>
        </w:rPr>
        <w:t>de laquelle elle envisage de si</w:t>
      </w:r>
      <w:r>
        <w:rPr>
          <w:noProof/>
        </w:rPr>
        <w:t>g</w:t>
      </w:r>
      <w:r>
        <w:rPr>
          <w:noProof/>
        </w:rPr>
        <w:t>n</w:t>
      </w:r>
      <w:r>
        <w:rPr>
          <w:noProof/>
        </w:rPr>
        <w:t xml:space="preserve">er </w:t>
      </w:r>
      <w:r>
        <w:rPr>
          <w:noProof/>
        </w:rPr>
        <w:t>l’accord-cadre</w:t>
      </w:r>
      <w:r>
        <w:rPr>
          <w:noProof/>
        </w:rPr>
        <w:t xml:space="preserve">. </w:t>
      </w:r>
    </w:p>
    <w:p w14:paraId="668574D0" w14:textId="77777777">
      <w:pPr>
        <w:rPr>
          <w:noProof/>
        </w:rPr>
      </w:pPr>
    </w:p>
    <w:p w14:paraId="5A1BFF5F" w14:textId="068F6FCB">
      <w:pPr>
        <w:rPr>
          <w:noProof/>
        </w:rPr>
      </w:pPr>
      <w:r>
        <w:rPr>
          <w:noProof/>
        </w:rPr>
        <w:t xml:space="preserve">Le délai à respecter entre la date de notification des rejets et la signature </w:t>
      </w:r>
      <w:r>
        <w:rPr>
          <w:noProof/>
        </w:rPr>
        <w:t>de l’accord-cadre</w:t>
      </w:r>
      <w:r>
        <w:rPr>
          <w:noProof/>
        </w:rPr>
        <w:t xml:space="preserve"> est de onze (11) jours</w:t>
      </w:r>
      <w:r>
        <w:rPr>
          <w:noProof/>
        </w:rPr>
        <w:t xml:space="preserve">, à compter de la notification des courriers de rejet, conformément à l’article </w:t>
      </w:r>
      <w:r>
        <w:rPr>
          <w:noProof/>
        </w:rPr>
        <w:t>R. 2182-1 d</w:t>
      </w:r>
      <w:r>
        <w:rPr>
          <w:noProof/>
        </w:rPr>
        <w:t>u Code de la commande publique.</w:t>
      </w:r>
    </w:p>
    <w:p w14:paraId="171F5300" w14:textId="6AEFC5DC">
      <w:pPr>
        <w:pStyle w:val="Titre1"/>
        <w:keepNext/>
        <w:rPr/>
      </w:pPr>
      <w:bookmarkStart w:id="71" w:name="_Toc219906000"/>
      <w:r>
        <w:rPr/>
        <w:t xml:space="preserve">ARTICLE 11 – </w:t>
      </w:r>
      <w:r>
        <w:rPr/>
        <w:t/>
      </w:r>
      <w:r>
        <w:rPr/>
        <w:t xml:space="preserve">MISE AU POINT </w:t>
      </w:r>
      <w:r>
        <w:rPr/>
        <w:t>DE L’ACCORD-CADRE</w:t>
      </w:r>
      <w:bookmarkEnd w:id="71"/>
    </w:p>
    <w:p w14:paraId="5CD960F8" w14:textId="3A9AA105">
      <w:pPr>
        <w:rPr>
          <w:noProof/>
        </w:rPr>
      </w:pPr>
      <w:r>
        <w:rPr>
          <w:noProof/>
        </w:rPr>
        <w:t>La ville d’Aubervilliers peut</w:t>
      </w:r>
      <w:r>
        <w:rPr>
          <w:noProof/>
        </w:rPr>
        <w:t/>
      </w:r>
      <w:r>
        <w:rPr>
          <w:noProof/>
        </w:rPr>
        <w:t xml:space="preserve">, en accord avec le soumissionnaire retenu</w:t>
      </w:r>
      <w:r>
        <w:rPr>
          <w:noProof/>
        </w:rPr>
        <w:t/>
      </w:r>
      <w:r>
        <w:rPr>
          <w:noProof/>
        </w:rPr>
        <w:t xml:space="preserve">, procéder à u</w:t>
      </w:r>
      <w:r>
        <w:rPr>
          <w:noProof/>
        </w:rPr>
        <w:t xml:space="preserve">ne mise au point </w:t>
      </w:r>
      <w:r>
        <w:rPr>
          <w:noProof/>
        </w:rPr>
        <w:t>de l’accord-cadre</w:t>
      </w:r>
      <w:r>
        <w:rPr>
          <w:noProof/>
        </w:rPr>
        <w:t xml:space="preserve"> sans que cela puisse</w:t>
      </w:r>
      <w:r>
        <w:rPr>
          <w:noProof/>
        </w:rPr>
        <w:t xml:space="preserve"> remettre en cause les caractéristiques substantielles de l’offre ni le classement des offres. </w:t>
      </w:r>
    </w:p>
    <w:p w14:paraId="23B55041" w14:textId="77777777">
      <w:pPr>
        <w:rPr>
          <w:noProof/>
        </w:rPr>
      </w:pPr>
    </w:p>
    <w:p w14:paraId="016641D3" w14:textId="3FBE74F2">
      <w:pPr>
        <w:rPr>
          <w:noProof/>
        </w:rPr>
      </w:pPr>
      <w:r>
        <w:rPr>
          <w:noProof/>
        </w:rPr>
        <w:t>Cette mise au point</w:t>
      </w:r>
      <w:r>
        <w:rPr>
          <w:noProof/>
        </w:rPr>
        <w:t xml:space="preserve"> v</w:t>
      </w:r>
      <w:r>
        <w:rPr>
          <w:noProof/>
        </w:rPr>
        <w:t xml:space="preserve">ise à </w:t>
      </w:r>
      <w:r>
        <w:rPr>
          <w:noProof/>
        </w:rPr>
        <w:t xml:space="preserve">éclaircir tout point relatif à l’exécution </w:t>
      </w:r>
      <w:r>
        <w:rPr>
          <w:noProof/>
        </w:rPr>
        <w:t>de l’accord-cadre</w:t>
      </w:r>
      <w:r>
        <w:rPr>
          <w:noProof/>
        </w:rPr>
        <w:t>,  afin d’</w:t>
      </w:r>
      <w:r>
        <w:rPr>
          <w:noProof/>
        </w:rPr>
        <w:t>assurer une bonne exécutio</w:t>
      </w:r>
      <w:r>
        <w:rPr>
          <w:noProof/>
        </w:rPr>
        <w:t xml:space="preserve">n des prestations </w:t>
      </w:r>
      <w:r>
        <w:rPr>
          <w:noProof/>
        </w:rPr>
        <w:t>qui y sont prévues</w:t>
      </w:r>
      <w:r>
        <w:rPr>
          <w:noProof/>
        </w:rPr>
        <w:t>.</w:t>
      </w:r>
    </w:p>
    <w:p w14:paraId="1B6B5C93" w14:textId="77777777">
      <w:pPr>
        <w:rPr>
          <w:noProof/>
        </w:rPr>
      </w:pPr>
    </w:p>
    <w:p w14:paraId="0580D3C1" w14:textId="77DBB90B">
      <w:pPr>
        <w:rPr>
          <w:noProof/>
        </w:rPr>
      </w:pPr>
      <w:r>
        <w:rPr>
          <w:noProof/>
        </w:rPr>
        <w:t xml:space="preserve">Elle ne </w:t>
      </w:r>
      <w:r>
        <w:rPr>
          <w:noProof/>
        </w:rPr>
        <w:t xml:space="preserve">constitue pas une négociation concernant les clauses </w:t>
      </w:r>
      <w:r>
        <w:rPr>
          <w:noProof/>
        </w:rPr>
        <w:t>de l’accord-cadre</w:t>
      </w:r>
      <w:r>
        <w:rPr>
          <w:noProof/>
        </w:rPr>
        <w:t>.</w:t>
      </w:r>
    </w:p>
    <w:p w14:paraId="52AE3F48" w14:textId="7671E52C">
      <w:pPr>
        <w:pStyle w:val="Titre1"/>
        <w:keepNext/>
        <w:rPr/>
      </w:pPr>
      <w:bookmarkStart w:id="72" w:name="_Toc108008360"/>
      <w:bookmarkStart w:id="73" w:name="_Toc219906001"/>
      <w:r>
        <w:rPr/>
        <w:t>ARTICLE 12</w:t>
      </w:r>
      <w:r>
        <w:rPr/>
        <w:t xml:space="preserve"> – </w:t>
      </w:r>
      <w:bookmarkEnd w:id="72"/>
      <w:r>
        <w:rPr/>
        <w:t>RÈGLEMENT</w:t>
      </w:r>
      <w:r>
        <w:rPr/>
        <w:t xml:space="preserve"> DES </w:t>
      </w:r>
      <w:r>
        <w:rPr/>
        <w:t>DIFFÉRENDS</w:t>
      </w:r>
      <w:bookmarkEnd w:id="73"/>
    </w:p>
    <w:p w14:paraId="051CE3FA" w14:textId="168DADC3">
      <w:pPr>
        <w:pStyle w:val="Titre2"/>
        <w:keepNext/>
        <w:rPr/>
      </w:pPr>
      <w:bookmarkStart w:id="74" w:name="_Toc219906002"/>
      <w:r>
        <w:rPr/>
        <w:t>12.</w:t>
      </w:r>
      <w:r>
        <w:rPr/>
        <w:t>1. Règlement amiable des différends</w:t>
      </w:r>
      <w:bookmarkEnd w:id="74"/>
    </w:p>
    <w:p w14:paraId="5DCEFDA4" w14:textId="675D5C28">
      <w:pPr>
        <w:rPr>
          <w:noProof/>
        </w:rPr>
      </w:pPr>
      <w:r>
        <w:rPr>
          <w:noProof/>
        </w:rPr>
        <w:t xml:space="preserve">En cas de différend concernant l’interprétation des stipulations ou à l’exécution du présent </w:t>
      </w:r>
      <w:r>
        <w:rPr>
          <w:noProof/>
        </w:rPr>
        <w:t>accord-cadre</w:t>
      </w:r>
      <w:r>
        <w:rPr>
          <w:noProof/>
        </w:rPr>
        <w:t>, les parties cocontractantes s’efforceront de régler le différend de manière amiable.</w:t>
      </w:r>
    </w:p>
    <w:p w14:paraId="68E55A76" w14:textId="77777777">
      <w:pPr>
        <w:rPr>
          <w:noProof/>
        </w:rPr>
      </w:pPr>
    </w:p>
    <w:p w14:paraId="41CC518F" w14:textId="781CCC95">
      <w:pPr>
        <w:rPr>
          <w:noProof/>
        </w:rPr>
      </w:pPr>
      <w:r>
        <w:rPr>
          <w:noProof/>
        </w:rPr>
        <w:t xml:space="preserve">Par ailleurs, si cela ne pose pas de difficultés pour la ville d’Aubervilliers, tout différend relatif au présent </w:t>
      </w:r>
      <w:r>
        <w:rPr>
          <w:noProof/>
        </w:rPr>
        <w:t>accord-cadre</w:t>
      </w:r>
      <w:r>
        <w:rPr>
          <w:noProof/>
        </w:rPr>
        <w:t xml:space="preserve"> peut être soumis à un comité consultatif de règlement amiable des différends.</w:t>
      </w:r>
    </w:p>
    <w:p w14:paraId="5661BBFB" w14:textId="77777777">
      <w:pPr>
        <w:rPr>
          <w:noProof/>
        </w:rPr>
      </w:pPr>
    </w:p>
    <w:p w14:paraId="7E756EA3" w14:textId="77777777">
      <w:pPr>
        <w:rPr>
          <w:noProof/>
        </w:rPr>
      </w:pPr>
      <w:r>
        <w:rPr>
          <w:noProof/>
        </w:rPr>
        <w:t>La saisine d’un comité consultatif de règlement amiable de différends suspend le cours des différentes prescriptions.</w:t>
      </w:r>
    </w:p>
    <w:p w14:paraId="7A2256FA" w14:textId="77777777">
      <w:pPr>
        <w:rPr>
          <w:noProof/>
        </w:rPr>
      </w:pPr>
    </w:p>
    <w:p w14:paraId="126FA717" w14:textId="1D4932EE">
      <w:pPr>
        <w:rPr>
          <w:noProof/>
        </w:rPr>
      </w:pPr>
      <w:r>
        <w:rPr>
          <w:noProof/>
        </w:rPr>
        <w:t>En outre, la ville d’Aubervilliers peut, si elle le juge opportun et pertinent, en tenant compte notamment des exigences inhérentes à sa qualité et aux missions dont elle est chargée, recourir à la transaction</w:t>
      </w:r>
      <w:r>
        <w:rPr>
          <w:noProof/>
        </w:rPr>
        <w:t xml:space="preserve"/>
      </w:r>
      <w:r>
        <w:rPr>
          <w:noProof/>
        </w:rPr>
        <w:t>, conformément à l’article L. 2197-5 du Code de la commande publique.</w:t>
      </w:r>
    </w:p>
    <w:p w14:paraId="4E8BA3C7" w14:textId="53085A6E">
      <w:pPr>
        <w:pStyle w:val="Titre2"/>
        <w:keepNext/>
        <w:rPr/>
      </w:pPr>
      <w:bookmarkStart w:id="75" w:name="_Toc219906003"/>
      <w:r>
        <w:rPr/>
        <w:t>12.</w:t>
      </w:r>
      <w:r>
        <w:rPr/>
        <w:t/>
      </w:r>
      <w:r>
        <w:rPr/>
        <w:t>2. Recours devant le juge administratif</w:t>
      </w:r>
      <w:bookmarkEnd w:id="75"/>
      <w:r>
        <w:rPr/>
        <w:t xml:space="preserve"> </w:t>
      </w:r>
    </w:p>
    <w:p w14:paraId="2889B68F" w14:textId="77777777">
      <w:pPr>
        <w:rPr>
          <w:noProof/>
        </w:rPr>
      </w:pPr>
      <w:r>
        <w:rPr>
          <w:noProof/>
        </w:rPr>
        <w:t>Le présent contrat ainsi que la procédure de sa passation sont régis par le droit français.</w:t>
      </w:r>
    </w:p>
    <w:p w14:paraId="462D52FB" w14:textId="77777777">
      <w:pPr>
        <w:rPr>
          <w:noProof/>
        </w:rPr>
      </w:pPr>
    </w:p>
    <w:p w14:paraId="53D54884" w14:textId="77777777">
      <w:pPr>
        <w:rPr>
          <w:noProof/>
        </w:rPr>
      </w:pPr>
      <w:r>
        <w:rPr>
          <w:noProof/>
        </w:rPr>
        <w:t>Les juridictions de l’ordre administratif de France sont seules compétentes.</w:t>
      </w:r>
    </w:p>
    <w:p w14:paraId="384BC7EB" w14:textId="77777777"/>
    <w:p w14:paraId="4E4165A7" w14:textId="77777777">
      <w:pPr>
        <w:pStyle w:val="Paragraphedeliste"/>
        <w:numPr>
          <w:ilvl w:val="0"/>
          <w:numId w:val="28"/>
        </w:numPr>
      </w:pPr>
      <w:r>
        <w:t>Instance chargée des procédures de recours : </w:t>
      </w:r>
    </w:p>
    <w:p w14:paraId="3DE584FF" w14:textId="77777777">
      <w:pPr>
        <w:pStyle w:val="Paragraphedeliste"/>
      </w:pPr>
    </w:p>
    <w:p w14:paraId="158FB235" w14:textId="1E1F26B0">
      <w:pPr>
        <w:rPr>
          <w:noProof/>
        </w:rPr>
      </w:pPr>
      <w:r>
        <w:rPr>
          <w:noProof/>
        </w:rPr>
        <w:t xml:space="preserve">En cas de persistance du différend, le tribunal administratif de Montreuil sera compétent pour </w:t>
      </w:r>
      <w:r>
        <w:rPr>
          <w:noProof/>
        </w:rPr>
        <w:t>trancher le litige :</w:t>
      </w:r>
    </w:p>
    <w:p w14:paraId="44B45147" w14:textId="77777777">
      <w:pPr>
        <w:ind w:left="709"/>
      </w:pPr>
      <w:r>
        <w:t>Tribunal Administratif de Montreuil (France)</w:t>
      </w:r>
    </w:p>
    <w:p w14:paraId="549EE935" w14:textId="77777777">
      <w:pPr>
        <w:ind w:left="709"/>
      </w:pPr>
      <w:r>
        <w:t xml:space="preserve">44 rue Irène et Frédéric Joliot Curie, CS 60015, </w:t>
      </w:r>
    </w:p>
    <w:p w14:paraId="6F657CFA" w14:textId="77777777">
      <w:pPr>
        <w:ind w:left="709"/>
      </w:pPr>
      <w:r>
        <w:t xml:space="preserve">93558 Montreuil Cedex </w:t>
      </w:r>
    </w:p>
    <w:p w14:paraId="23788426" w14:textId="77777777">
      <w:pPr>
        <w:ind w:left="709"/>
      </w:pPr>
      <w:r>
        <w:t>Téléphone : 01-49-20-20-00</w:t>
      </w:r>
    </w:p>
    <w:p w14:paraId="61726D0F" w14:textId="77777777">
      <w:pPr>
        <w:ind w:left="709"/>
        <w:rPr>
          <w:rFonts w:eastAsia="Times New Roman" w:cs="Times New Roman" w:ascii="Times New Roman" w:hAnsi="Times New Roman"/>
          <w:szCs w:val="24"/>
        </w:rPr>
      </w:pPr>
      <w:r>
        <w:rPr>
          <w:rFonts w:eastAsia="Times New Roman" w:cs="Times New Roman" w:ascii="Times New Roman" w:hAnsi="Times New Roman"/>
          <w:szCs w:val="24"/>
        </w:rPr>
        <w:t>Courriel : </w:t>
      </w:r>
      <w:hyperlink r:id="rId16" w:history="1">
        <w:r>
          <w:rPr>
            <w:rFonts w:eastAsia="Times New Roman" w:cs="Times New Roman" w:ascii="Times New Roman" w:hAnsi="Times New Roman"/>
            <w:szCs w:val="24"/>
            <w:u w:val="single"/>
          </w:rPr>
          <w:t>greffe.ta-montreuil@juradm.fr</w:t>
        </w:r>
      </w:hyperlink>
    </w:p>
    <w:p w14:paraId="7DCECEAF" w14:textId="77777777"/>
    <w:p w14:paraId="01DC018B" w14:textId="77777777">
      <w:pPr>
        <w:pStyle w:val="Paragraphedeliste"/>
        <w:numPr>
          <w:ilvl w:val="0"/>
          <w:numId w:val="28"/>
        </w:numPr>
      </w:pPr>
      <w:r>
        <w:t xml:space="preserve">Précisions concernant le(s) délai(s) d'introduction des recours : </w:t>
      </w:r>
    </w:p>
    <w:p w14:paraId="7033EF9C" w14:textId="77777777">
      <w:pPr>
        <w:rPr>
          <w:noProof/>
        </w:rPr>
      </w:pPr>
    </w:p>
    <w:p w14:paraId="137C23C5" w14:textId="76DBFCFF">
      <w:pPr>
        <w:rPr>
          <w:noProof/>
        </w:rPr>
      </w:pPr>
      <w:r>
        <w:rPr>
          <w:noProof/>
        </w:rPr>
        <w:t xml:space="preserve">Toutes les difficultés, litiges ou contestations qui pourraient naître à l'occasion de l'interprétation ou de l'exécution </w:t>
      </w:r>
      <w:r>
        <w:rPr>
          <w:noProof/>
        </w:rPr>
        <w:t>de l’accord-cadre</w:t>
      </w:r>
      <w:r>
        <w:rPr>
          <w:noProof/>
        </w:rPr>
        <w:t xml:space="preserve"> seront de la compétence exclusive du tribunal administratif de Montreuil (France) si les parties n'ont pu trouver un règlement amiable.</w:t>
      </w:r>
    </w:p>
    <w:p w14:paraId="1C74FCEF" w14:textId="77777777">
      <w:pPr>
        <w:rPr>
          <w:noProof/>
        </w:rPr>
      </w:pPr>
    </w:p>
    <w:p w14:paraId="4F18116C" w14:textId="7AE71B50">
      <w:pPr>
        <w:rPr>
          <w:noProof/>
        </w:rPr>
      </w:pPr>
      <w:r>
        <w:rPr>
          <w:noProof/>
        </w:rPr>
        <w:t xml:space="preserve">Toute contestation relative à la procédure de passation du présent </w:t>
      </w:r>
      <w:r>
        <w:rPr>
          <w:noProof/>
        </w:rPr>
        <w:t>accord-cadre</w:t>
      </w:r>
      <w:r>
        <w:rPr>
          <w:noProof/>
        </w:rPr>
        <w:t xml:space="preserve"> pourra faire l'objet d'un recours contentieux auprès du Tribunal Administratif de Montreuil (France) comme suit :</w:t>
      </w:r>
    </w:p>
    <w:p w14:paraId="696149B4" w14:textId="77777777">
      <w:pPr>
        <w:rPr>
          <w:noProof/>
        </w:rPr>
      </w:pPr>
    </w:p>
    <w:p w14:paraId="545566B1" w14:textId="5282D29D">
      <w:pPr>
        <w:rPr>
          <w:noProof/>
        </w:rPr>
      </w:pPr>
      <w:r>
        <w:rPr>
          <w:b/>
          <w:noProof/>
        </w:rPr>
        <w:t>Référé précontractuel</w:t>
      </w:r>
      <w:r>
        <w:rPr>
          <w:noProof/>
        </w:rPr>
        <w:t xml:space="preserve"> : recours possible jusqu'à la signature </w:t>
      </w:r>
      <w:r>
        <w:rPr>
          <w:noProof/>
        </w:rPr>
        <w:t>de l’accord-cadre</w:t>
      </w:r>
      <w:r>
        <w:rPr>
          <w:noProof/>
        </w:rPr>
        <w:t>, dont le régime est prévu aux articles L. 551-1 à L. 551-12 et R. 551-1 à R. 551-6 du Code de la justice administrative (CJA).</w:t>
      </w:r>
    </w:p>
    <w:p w14:paraId="6B516825" w14:textId="77777777">
      <w:pPr>
        <w:rPr>
          <w:b/>
          <w:noProof/>
        </w:rPr>
      </w:pPr>
    </w:p>
    <w:p w14:paraId="2D153719" w14:textId="6A299C40">
      <w:pPr>
        <w:rPr>
          <w:noProof/>
        </w:rPr>
      </w:pPr>
      <w:r>
        <w:rPr>
          <w:b/>
          <w:noProof/>
        </w:rPr>
        <w:t>Le référé contractuel</w:t>
      </w:r>
      <w:r>
        <w:rPr>
          <w:noProof/>
        </w:rPr>
        <w:t xml:space="preserve"> : peut être exercé, après la signature </w:t>
      </w:r>
      <w:r>
        <w:rPr>
          <w:noProof/>
        </w:rPr>
        <w:t>de l’accord-cadre</w:t>
      </w:r>
      <w:r>
        <w:rPr>
          <w:noProof/>
        </w:rPr>
        <w:t xml:space="preserve">, par les personnes qui ont intérêt à conclure </w:t>
      </w:r>
      <w:r>
        <w:rPr>
          <w:noProof/>
        </w:rPr>
        <w:t>l’accord-cadre</w:t>
      </w:r>
      <w:r>
        <w:rPr>
          <w:noProof/>
        </w:rPr>
        <w:t xml:space="preserve"> et qui sont susceptibles d’être lésées par des manquements aux obligations de publicité et de mise en concurrence, ainsi que par le préfet compétent, dont le régime est prévu par les articles L. 551-13 à L. 551-23 et R. 551-7 à R. 551-10 du CJA.</w:t>
      </w:r>
    </w:p>
    <w:p w14:paraId="21EF840A" w14:textId="77777777">
      <w:pPr>
        <w:rPr>
          <w:b/>
          <w:noProof/>
        </w:rPr>
      </w:pPr>
    </w:p>
    <w:p w14:paraId="7CA931D2" w14:textId="77777777">
      <w:pPr>
        <w:rPr>
          <w:noProof/>
        </w:rPr>
      </w:pPr>
      <w:r>
        <w:rPr>
          <w:b/>
          <w:noProof/>
        </w:rPr>
        <w:t>Le recours de pleine juridiction </w:t>
      </w:r>
      <w:r>
        <w:rPr>
          <w:noProof/>
        </w:rPr>
        <w:t>: qui permet de contester la validité du contrat ou certaines de ses clauses, est ouvert aux tiers susceptibles d’être lésés dans leurs intérêts de façon suffisamment directe et certaine par sa passation ou ses clauses (Le régime de ce recours a été précisé par le Conseil d’Etat dans sa décision dite « Département Tarn-et-Garonne » de 2014 (</w:t>
      </w:r>
      <w:r>
        <w:rPr>
          <w:b/>
          <w:noProof/>
        </w:rPr>
        <w:t>CE, Ass., 4 avril 2014, Département Tarn-et-Garonne, n° 358994</w:t>
      </w:r>
      <w:r>
        <w:rPr>
          <w:noProof/>
        </w:rPr>
        <w:t>).</w:t>
      </w:r>
    </w:p>
    <w:p w14:paraId="01E93C5B" w14:textId="77777777">
      <w:pPr>
        <w:rPr>
          <w:noProof/>
        </w:rPr>
      </w:pPr>
    </w:p>
    <w:p w14:paraId="6BBD144C" w14:textId="6DD9AA7A">
      <w:pPr>
        <w:widowControl w:val="0"/>
        <w:autoSpaceDE w:val="0"/>
        <w:autoSpaceDN w:val="0"/>
      </w:pPr>
      <w:r>
        <w:rPr>
          <w:b/>
          <w:noProof/>
        </w:rPr>
        <w:t>Le recours pour excès de pouvoir</w:t>
      </w:r>
      <w:r>
        <w:rPr>
          <w:noProof/>
        </w:rPr>
        <w:t xml:space="preserve"> : </w:t>
      </w:r>
      <w:r>
        <w:t xml:space="preserve">qui peut être intenté par toute personne ayant un intérêt à agir, dans le délai de deux (2) mois, à compter de l’accomplissement par la ville d’Aubervilliers des publications/notifications requises concernant l’attribution du présent </w:t>
      </w:r>
      <w:r>
        <w:t>accord-cadre</w:t>
      </w:r>
      <w:r>
        <w:t>.</w:t>
      </w:r>
    </w:p>
    <w:p w14:paraId="4FC08C04" w14:textId="77777777">
      <w:pPr>
        <w:rPr>
          <w:noProof/>
        </w:rPr>
      </w:pPr>
    </w:p>
    <w:p w14:paraId="18A5E4DA" w14:textId="18C8A157">
      <w:r>
        <w:t>En tout état de cause, toute personne intéressée est tenue de se rapprocher de la juridiction compétente et/ou de prendre conseil auprès d’un</w:t>
      </w:r>
      <w:r>
        <w:t xml:space="preserve"> conseiller juridique compétent de son choix, afin de</w:t>
      </w:r>
      <w:r>
        <w:t xml:space="preserve"> s’informer</w:t>
      </w:r>
      <w:r>
        <w:t xml:space="preserve"> sur les voies et l</w:t>
      </w:r>
      <w:r>
        <w:t xml:space="preserve">es conditions </w:t>
      </w:r>
      <w:r>
        <w:t>de recours</w:t>
      </w:r>
      <w:r>
        <w:t xml:space="preserve"> juridictionnel</w:t>
      </w:r>
      <w:r>
        <w:t>.</w:t>
      </w:r>
    </w:p>
    <w:sectPr>
      <w:footerReference w:type="default" r:id="rId17"/>
      <w:pgSz w:w="11906" w:h="16838" w:code="9"/>
      <w:pgMar w:top="1418" w:right="1418" w:bottom="1418" w:left="1418" w:header="170"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B61C2" w14:textId="77777777">
      <w:r>
        <w:separator/>
      </w:r>
    </w:p>
  </w:endnote>
  <w:endnote w:type="continuationSeparator" w:id="0">
    <w:p w14:paraId="17B33EA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Gra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pitch w:val="variable"/>
    <w:sig w:usb0="81000003" w:usb1="00000000" w:usb2="00000000" w:usb3="00000000" w:csb0="00010001" w:csb1="00000000"/>
  </w:font>
  <w:font w:name="Elite">
    <w:altName w:val="Calibri"/>
    <w:panose1 w:val="00000000000000000000"/>
    <w:charset w:val="00"/>
    <w:family w:val="modern"/>
    <w:notTrueType/>
    <w:pitch w:val="fixed"/>
    <w:sig w:usb0="00000003" w:usb1="00000000" w:usb2="00000000" w:usb3="00000000" w:csb0="00000001" w:csb1="00000000"/>
  </w:font>
  <w:font w:name="MS Serif">
    <w:altName w:val="Felix Titling"/>
    <w:panose1 w:val="040005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4127908"/>
      <w:docPartObj>
        <w:docPartGallery w:val="Page Numbers (Bottom of Page)"/>
        <w:docPartUnique/>
      </w:docPartObj>
    </w:sdtPr>
    <w:sdtContent>
      <w:sdt>
        <w:sdtPr>
          <w:id w:val="-1769616900"/>
          <w:docPartObj>
            <w:docPartGallery w:val="Page Numbers (Top of Page)"/>
            <w:docPartUnique/>
          </w:docPartObj>
        </w:sdtPr>
        <w:sdtContent>
          <w:p w14:paraId="22DEF3A3" w14:textId="00676260">
            <w:pPr>
              <w:pStyle w:val="Pieddepage"/>
              <w:pBdr>
                <w:top w:val="single" w:sz="4" w:space="1" w:color="auto"/>
              </w:pBdr>
              <w:rPr>
                <w:sz w:val="16"/>
                <w:szCs w:val="16"/>
              </w:rPr>
            </w:pPr>
          </w:p>
          <w:p w14:paraId="4CADDAD3" w14:textId="22D27140">
            <w:pPr>
              <w:pStyle w:val="Pieddepage"/>
              <w:jc w:val="right"/>
            </w:pPr>
            <w:r>
              <w:t xml:space="preserve">Page </w:t>
            </w:r>
            <w:r>
              <w:rPr>
                <w:b/>
                <w:bCs/>
                <w:szCs w:val="24"/>
              </w:rPr>
              <w:fldChar w:fldCharType="begin"/>
            </w:r>
            <w:r>
              <w:rPr>
                <w:b/>
                <w:bCs/>
              </w:rPr>
              <w:instrText>PAGE</w:instrText>
            </w:r>
            <w:r>
              <w:rPr>
                <w:b/>
                <w:bCs/>
                <w:szCs w:val="24"/>
              </w:rPr>
              <w:fldChar w:fldCharType="separate"/>
            </w:r>
            <w:r>
              <w:rPr>
                <w:b/>
                <w:bCs/>
                <w:noProof/>
              </w:rPr>
              <w:t>2</w:t>
            </w:r>
            <w:r>
              <w:rPr>
                <w:b/>
                <w:bCs/>
                <w:szCs w:val="24"/>
              </w:rPr>
              <w:fldChar w:fldCharType="end"/>
            </w:r>
            <w:r>
              <w:t xml:space="preserve"> sur </w:t>
            </w:r>
            <w:r>
              <w:rPr>
                <w:b/>
                <w:bCs/>
                <w:szCs w:val="24"/>
              </w:rPr>
              <w:fldChar w:fldCharType="begin"/>
            </w:r>
            <w:r>
              <w:rPr>
                <w:b/>
                <w:bCs/>
              </w:rPr>
              <w:instrText>NUMPAGES</w:instrText>
            </w:r>
            <w:r>
              <w:rPr>
                <w:b/>
                <w:bCs/>
                <w:szCs w:val="24"/>
              </w:rPr>
              <w:fldChar w:fldCharType="separate"/>
            </w:r>
            <w:r>
              <w:rPr>
                <w:b/>
                <w:bCs/>
                <w:noProof/>
              </w:rPr>
              <w:t>21</w:t>
            </w:r>
            <w:r>
              <w:rPr>
                <w:b/>
                <w:bCs/>
                <w:szCs w:val="24"/>
              </w:rPr>
              <w:fldChar w:fldCharType="end"/>
            </w:r>
          </w:p>
        </w:sdtContent>
      </w:sdt>
    </w:sdtContent>
  </w:sdt>
  <w:p w14:paraId="52E103CD" w14:textId="7777777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116CB9" w14:textId="77777777">
      <w:r>
        <w:separator/>
      </w:r>
    </w:p>
  </w:footnote>
  <w:footnote w:type="continuationSeparator" w:id="0">
    <w:p w14:paraId="5BF9463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60E92"/>
    <w:multiLevelType w:val="hybridMultilevel"/>
    <w:tmpl w:val="DAB03AEC"/>
    <w:lvl w:ilvl="0" w:tplc="040C0001">
      <w:start w:val="1"/>
      <w:numFmt w:val="bullet"/>
      <w:lvlText w:val=""/>
      <w:lvlJc w:val="left"/>
      <w:pPr>
        <w:ind w:left="1496" w:hanging="360"/>
      </w:pPr>
      <w:rPr>
        <w:rFonts w:ascii="Symbol" w:hAnsi="Symbol" w:hint="default" w:cs="Times New Roman"/>
      </w:rPr>
    </w:lvl>
    <w:lvl w:ilvl="1" w:tplc="040C0003" w:tentative="1">
      <w:start w:val="1"/>
      <w:numFmt w:val="bullet"/>
      <w:lvlText w:val="o"/>
      <w:lvlJc w:val="left"/>
      <w:pPr>
        <w:ind w:left="2216" w:hanging="360"/>
      </w:pPr>
      <w:rPr>
        <w:rFonts w:ascii="Times New Roman" w:hAnsi="Times New Roman" w:cs="Times New Roman" w:hint="default"/>
      </w:rPr>
    </w:lvl>
    <w:lvl w:ilvl="2" w:tplc="040C0005" w:tentative="1">
      <w:start w:val="1"/>
      <w:numFmt w:val="bullet"/>
      <w:lvlText w:val=""/>
      <w:lvlJc w:val="left"/>
      <w:pPr>
        <w:ind w:left="2936" w:hanging="360"/>
      </w:pPr>
      <w:rPr>
        <w:rFonts w:ascii="Wingdings" w:hAnsi="Wingdings" w:hint="default" w:cs="Times New Roman"/>
      </w:rPr>
    </w:lvl>
    <w:lvl w:ilvl="3" w:tplc="040C0001" w:tentative="1">
      <w:start w:val="1"/>
      <w:numFmt w:val="bullet"/>
      <w:lvlText w:val=""/>
      <w:lvlJc w:val="left"/>
      <w:pPr>
        <w:ind w:left="3656" w:hanging="360"/>
      </w:pPr>
      <w:rPr>
        <w:rFonts w:ascii="Symbol" w:hAnsi="Symbol" w:hint="default" w:cs="Times New Roman"/>
      </w:rPr>
    </w:lvl>
    <w:lvl w:ilvl="4" w:tplc="040C0003" w:tentative="1">
      <w:start w:val="1"/>
      <w:numFmt w:val="bullet"/>
      <w:lvlText w:val="o"/>
      <w:lvlJc w:val="left"/>
      <w:pPr>
        <w:ind w:left="4376" w:hanging="360"/>
      </w:pPr>
      <w:rPr>
        <w:rFonts w:ascii="Times New Roman" w:hAnsi="Times New Roman" w:cs="Times New Roman" w:hint="default"/>
      </w:rPr>
    </w:lvl>
    <w:lvl w:ilvl="5" w:tplc="040C0005" w:tentative="1">
      <w:start w:val="1"/>
      <w:numFmt w:val="bullet"/>
      <w:lvlText w:val=""/>
      <w:lvlJc w:val="left"/>
      <w:pPr>
        <w:ind w:left="5096" w:hanging="360"/>
      </w:pPr>
      <w:rPr>
        <w:rFonts w:ascii="Wingdings" w:hAnsi="Wingdings" w:hint="default" w:cs="Times New Roman"/>
      </w:rPr>
    </w:lvl>
    <w:lvl w:ilvl="6" w:tplc="040C0001" w:tentative="1">
      <w:start w:val="1"/>
      <w:numFmt w:val="bullet"/>
      <w:lvlText w:val=""/>
      <w:lvlJc w:val="left"/>
      <w:pPr>
        <w:ind w:left="5816" w:hanging="360"/>
      </w:pPr>
      <w:rPr>
        <w:rFonts w:ascii="Symbol" w:hAnsi="Symbol" w:hint="default" w:cs="Times New Roman"/>
      </w:rPr>
    </w:lvl>
    <w:lvl w:ilvl="7" w:tplc="040C0003" w:tentative="1">
      <w:start w:val="1"/>
      <w:numFmt w:val="bullet"/>
      <w:lvlText w:val="o"/>
      <w:lvlJc w:val="left"/>
      <w:pPr>
        <w:ind w:left="6536" w:hanging="360"/>
      </w:pPr>
      <w:rPr>
        <w:rFonts w:ascii="Times New Roman" w:hAnsi="Times New Roman" w:cs="Times New Roman" w:hint="default"/>
      </w:rPr>
    </w:lvl>
    <w:lvl w:ilvl="8" w:tplc="040C0005" w:tentative="1">
      <w:start w:val="1"/>
      <w:numFmt w:val="bullet"/>
      <w:lvlText w:val=""/>
      <w:lvlJc w:val="left"/>
      <w:pPr>
        <w:ind w:left="7256" w:hanging="360"/>
      </w:pPr>
      <w:rPr>
        <w:rFonts w:ascii="Wingdings" w:hAnsi="Wingdings" w:hint="default" w:cs="Times New Roman"/>
      </w:rPr>
    </w:lvl>
  </w:abstractNum>
  <w:abstractNum w:abstractNumId="1" w15:restartNumberingAfterBreak="0">
    <w:nsid w:val="03436312"/>
    <w:multiLevelType w:val="hybridMultilevel"/>
    <w:tmpl w:val="03C016B0"/>
    <w:lvl w:ilvl="0" w:tplc="040C0001">
      <w:start w:val="1"/>
      <w:numFmt w:val="bullet"/>
      <w:lvlText w:val=""/>
      <w:lvlJc w:val="left"/>
      <w:pPr>
        <w:ind w:left="720" w:hanging="360"/>
      </w:pPr>
      <w:rPr>
        <w:rFonts w:ascii="Symbol" w:hAnsi="Symbol" w:hint="default" w:cs="Times New Roman"/>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2" w15:restartNumberingAfterBreak="0">
    <w:nsid w:val="05CC1738"/>
    <w:multiLevelType w:val="hybridMultilevel"/>
    <w:tmpl w:val="F8C412DA"/>
    <w:lvl w:ilvl="0" w:tplc="040C0001">
      <w:start w:val="1"/>
      <w:numFmt w:val="bullet"/>
      <w:lvlText w:val=""/>
      <w:lvlJc w:val="left"/>
      <w:pPr>
        <w:ind w:left="1068" w:hanging="360"/>
      </w:pPr>
      <w:rPr>
        <w:rFonts w:ascii="Symbol" w:hAnsi="Symbol" w:hint="default" w:cs="Times New Roman"/>
      </w:rPr>
    </w:lvl>
    <w:lvl w:ilvl="1" w:tplc="040C0003" w:tentative="1">
      <w:start w:val="1"/>
      <w:numFmt w:val="bullet"/>
      <w:lvlText w:val="o"/>
      <w:lvlJc w:val="left"/>
      <w:pPr>
        <w:ind w:left="1788" w:hanging="360"/>
      </w:pPr>
      <w:rPr>
        <w:rFonts w:ascii="Times New Roman" w:hAnsi="Times New Roman" w:cs="Times New Roman" w:hint="default"/>
      </w:rPr>
    </w:lvl>
    <w:lvl w:ilvl="2" w:tplc="040C0005" w:tentative="1">
      <w:start w:val="1"/>
      <w:numFmt w:val="bullet"/>
      <w:lvlText w:val=""/>
      <w:lvlJc w:val="left"/>
      <w:pPr>
        <w:ind w:left="2508" w:hanging="360"/>
      </w:pPr>
      <w:rPr>
        <w:rFonts w:ascii="Wingdings" w:hAnsi="Wingdings" w:hint="default" w:cs="Times New Roman"/>
      </w:rPr>
    </w:lvl>
    <w:lvl w:ilvl="3" w:tplc="040C0001" w:tentative="1">
      <w:start w:val="1"/>
      <w:numFmt w:val="bullet"/>
      <w:lvlText w:val=""/>
      <w:lvlJc w:val="left"/>
      <w:pPr>
        <w:ind w:left="3228" w:hanging="360"/>
      </w:pPr>
      <w:rPr>
        <w:rFonts w:ascii="Symbol" w:hAnsi="Symbol" w:hint="default" w:cs="Times New Roman"/>
      </w:rPr>
    </w:lvl>
    <w:lvl w:ilvl="4" w:tplc="040C0003" w:tentative="1">
      <w:start w:val="1"/>
      <w:numFmt w:val="bullet"/>
      <w:lvlText w:val="o"/>
      <w:lvlJc w:val="left"/>
      <w:pPr>
        <w:ind w:left="3948" w:hanging="360"/>
      </w:pPr>
      <w:rPr>
        <w:rFonts w:ascii="Times New Roman" w:hAnsi="Times New Roman" w:cs="Times New Roman" w:hint="default"/>
      </w:rPr>
    </w:lvl>
    <w:lvl w:ilvl="5" w:tplc="040C0005" w:tentative="1">
      <w:start w:val="1"/>
      <w:numFmt w:val="bullet"/>
      <w:lvlText w:val=""/>
      <w:lvlJc w:val="left"/>
      <w:pPr>
        <w:ind w:left="4668" w:hanging="360"/>
      </w:pPr>
      <w:rPr>
        <w:rFonts w:ascii="Wingdings" w:hAnsi="Wingdings" w:hint="default" w:cs="Times New Roman"/>
      </w:rPr>
    </w:lvl>
    <w:lvl w:ilvl="6" w:tplc="040C0001" w:tentative="1">
      <w:start w:val="1"/>
      <w:numFmt w:val="bullet"/>
      <w:lvlText w:val=""/>
      <w:lvlJc w:val="left"/>
      <w:pPr>
        <w:ind w:left="5388" w:hanging="360"/>
      </w:pPr>
      <w:rPr>
        <w:rFonts w:ascii="Symbol" w:hAnsi="Symbol" w:hint="default" w:cs="Times New Roman"/>
      </w:rPr>
    </w:lvl>
    <w:lvl w:ilvl="7" w:tplc="040C0003" w:tentative="1">
      <w:start w:val="1"/>
      <w:numFmt w:val="bullet"/>
      <w:lvlText w:val="o"/>
      <w:lvlJc w:val="left"/>
      <w:pPr>
        <w:ind w:left="6108" w:hanging="360"/>
      </w:pPr>
      <w:rPr>
        <w:rFonts w:ascii="Times New Roman" w:hAnsi="Times New Roman" w:cs="Times New Roman" w:hint="default"/>
      </w:rPr>
    </w:lvl>
    <w:lvl w:ilvl="8" w:tplc="040C0005" w:tentative="1">
      <w:start w:val="1"/>
      <w:numFmt w:val="bullet"/>
      <w:lvlText w:val=""/>
      <w:lvlJc w:val="left"/>
      <w:pPr>
        <w:ind w:left="6828" w:hanging="360"/>
      </w:pPr>
      <w:rPr>
        <w:rFonts w:ascii="Wingdings" w:hAnsi="Wingdings" w:hint="default" w:cs="Times New Roman"/>
      </w:rPr>
    </w:lvl>
  </w:abstractNum>
  <w:abstractNum w:abstractNumId="3" w15:restartNumberingAfterBreak="0">
    <w:nsid w:val="0E807FB0"/>
    <w:multiLevelType w:val="hybridMultilevel"/>
    <w:tmpl w:val="6A18A92E"/>
    <w:lvl w:ilvl="0" w:tplc="040C0001">
      <w:start w:val="1"/>
      <w:numFmt w:val="bullet"/>
      <w:lvlText w:val=""/>
      <w:lvlJc w:val="left"/>
      <w:pPr>
        <w:ind w:left="153" w:hanging="360"/>
      </w:pPr>
      <w:rPr>
        <w:rFonts w:ascii="Symbol" w:hAnsi="Symbol" w:hint="default" w:cs="Times New Roman"/>
      </w:rPr>
    </w:lvl>
    <w:lvl w:ilvl="1" w:tplc="040C0003">
      <w:start w:val="1"/>
      <w:numFmt w:val="bullet"/>
      <w:lvlText w:val="o"/>
      <w:lvlJc w:val="left"/>
      <w:pPr>
        <w:ind w:left="873" w:hanging="360"/>
      </w:pPr>
      <w:rPr>
        <w:rFonts w:ascii="Times New Roman" w:hAnsi="Times New Roman" w:cs="Times New Roman" w:hint="default"/>
      </w:rPr>
    </w:lvl>
    <w:lvl w:ilvl="2" w:tplc="040C0005" w:tentative="1">
      <w:start w:val="1"/>
      <w:numFmt w:val="bullet"/>
      <w:lvlText w:val=""/>
      <w:lvlJc w:val="left"/>
      <w:pPr>
        <w:ind w:left="1593" w:hanging="360"/>
      </w:pPr>
      <w:rPr>
        <w:rFonts w:ascii="Wingdings" w:hAnsi="Wingdings" w:hint="default" w:cs="Times New Roman"/>
      </w:rPr>
    </w:lvl>
    <w:lvl w:ilvl="3" w:tplc="040C0001" w:tentative="1">
      <w:start w:val="1"/>
      <w:numFmt w:val="bullet"/>
      <w:lvlText w:val=""/>
      <w:lvlJc w:val="left"/>
      <w:pPr>
        <w:ind w:left="2313" w:hanging="360"/>
      </w:pPr>
      <w:rPr>
        <w:rFonts w:ascii="Symbol" w:hAnsi="Symbol" w:hint="default" w:cs="Times New Roman"/>
      </w:rPr>
    </w:lvl>
    <w:lvl w:ilvl="4" w:tplc="040C0003" w:tentative="1">
      <w:start w:val="1"/>
      <w:numFmt w:val="bullet"/>
      <w:lvlText w:val="o"/>
      <w:lvlJc w:val="left"/>
      <w:pPr>
        <w:ind w:left="3033" w:hanging="360"/>
      </w:pPr>
      <w:rPr>
        <w:rFonts w:ascii="Times New Roman" w:hAnsi="Times New Roman" w:cs="Times New Roman" w:hint="default"/>
      </w:rPr>
    </w:lvl>
    <w:lvl w:ilvl="5" w:tplc="040C0005" w:tentative="1">
      <w:start w:val="1"/>
      <w:numFmt w:val="bullet"/>
      <w:lvlText w:val=""/>
      <w:lvlJc w:val="left"/>
      <w:pPr>
        <w:ind w:left="3753" w:hanging="360"/>
      </w:pPr>
      <w:rPr>
        <w:rFonts w:ascii="Wingdings" w:hAnsi="Wingdings" w:hint="default" w:cs="Times New Roman"/>
      </w:rPr>
    </w:lvl>
    <w:lvl w:ilvl="6" w:tplc="040C0001" w:tentative="1">
      <w:start w:val="1"/>
      <w:numFmt w:val="bullet"/>
      <w:lvlText w:val=""/>
      <w:lvlJc w:val="left"/>
      <w:pPr>
        <w:ind w:left="4473" w:hanging="360"/>
      </w:pPr>
      <w:rPr>
        <w:rFonts w:ascii="Symbol" w:hAnsi="Symbol" w:hint="default" w:cs="Times New Roman"/>
      </w:rPr>
    </w:lvl>
    <w:lvl w:ilvl="7" w:tplc="040C0003" w:tentative="1">
      <w:start w:val="1"/>
      <w:numFmt w:val="bullet"/>
      <w:lvlText w:val="o"/>
      <w:lvlJc w:val="left"/>
      <w:pPr>
        <w:ind w:left="5193" w:hanging="360"/>
      </w:pPr>
      <w:rPr>
        <w:rFonts w:ascii="Times New Roman" w:hAnsi="Times New Roman" w:cs="Times New Roman" w:hint="default"/>
      </w:rPr>
    </w:lvl>
    <w:lvl w:ilvl="8" w:tplc="040C0005" w:tentative="1">
      <w:start w:val="1"/>
      <w:numFmt w:val="bullet"/>
      <w:lvlText w:val=""/>
      <w:lvlJc w:val="left"/>
      <w:pPr>
        <w:ind w:left="5913" w:hanging="360"/>
      </w:pPr>
      <w:rPr>
        <w:rFonts w:ascii="Wingdings" w:hAnsi="Wingdings" w:hint="default" w:cs="Times New Roman"/>
      </w:rPr>
    </w:lvl>
  </w:abstractNum>
  <w:abstractNum w:abstractNumId="4" w15:restartNumberingAfterBreak="0">
    <w:nsid w:val="0F6B22AF"/>
    <w:multiLevelType w:val="hybridMultilevel"/>
    <w:tmpl w:val="ADAE920E"/>
    <w:lvl w:ilvl="0" w:tplc="040C0001">
      <w:start w:val="1"/>
      <w:numFmt w:val="bullet"/>
      <w:lvlText w:val=""/>
      <w:lvlJc w:val="left"/>
      <w:pPr>
        <w:ind w:left="720" w:hanging="360"/>
      </w:pPr>
      <w:rPr>
        <w:rFonts w:ascii="Symbol" w:hAnsi="Symbol" w:hint="default" w:cs="Times New Roman"/>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5" w15:restartNumberingAfterBreak="0">
    <w:nsid w:val="11911796"/>
    <w:multiLevelType w:val="hybridMultilevel"/>
    <w:tmpl w:val="7C424CE8"/>
    <w:lvl w:ilvl="0" w:tplc="040C000B">
      <w:start w:val="1"/>
      <w:numFmt w:val="bullet"/>
      <w:lvlText w:val=""/>
      <w:lvlJc w:val="left"/>
      <w:pPr>
        <w:tabs>
          <w:tab w:val="num" w:pos="360"/>
        </w:tabs>
        <w:ind w:left="360" w:hanging="360"/>
      </w:pPr>
      <w:rPr>
        <w:rFonts w:ascii="Wingdings" w:hAnsi="Wingdings" w:hint="default" w:cs="Times New Roman"/>
      </w:rPr>
    </w:lvl>
    <w:lvl w:ilvl="1" w:tplc="040C0003">
      <w:start w:val="1"/>
      <w:numFmt w:val="decimal"/>
      <w:lvlText w:val="%2."/>
      <w:lvlJc w:val="left"/>
      <w:pPr>
        <w:tabs>
          <w:tab w:val="num" w:pos="1080"/>
        </w:tabs>
        <w:ind w:left="1080" w:hanging="360"/>
      </w:pPr>
    </w:lvl>
    <w:lvl w:ilvl="2" w:tplc="040C0005">
      <w:start w:val="1"/>
      <w:numFmt w:val="decimal"/>
      <w:lvlText w:val="%3."/>
      <w:lvlJc w:val="left"/>
      <w:pPr>
        <w:tabs>
          <w:tab w:val="num" w:pos="1800"/>
        </w:tabs>
        <w:ind w:left="1800" w:hanging="360"/>
      </w:pPr>
    </w:lvl>
    <w:lvl w:ilvl="3" w:tplc="040C0001">
      <w:start w:val="1"/>
      <w:numFmt w:val="decimal"/>
      <w:lvlText w:val="%4."/>
      <w:lvlJc w:val="left"/>
      <w:pPr>
        <w:tabs>
          <w:tab w:val="num" w:pos="2520"/>
        </w:tabs>
        <w:ind w:left="2520" w:hanging="360"/>
      </w:pPr>
    </w:lvl>
    <w:lvl w:ilvl="4" w:tplc="040C0003">
      <w:start w:val="1"/>
      <w:numFmt w:val="decimal"/>
      <w:lvlText w:val="%5."/>
      <w:lvlJc w:val="left"/>
      <w:pPr>
        <w:tabs>
          <w:tab w:val="num" w:pos="3240"/>
        </w:tabs>
        <w:ind w:left="3240" w:hanging="360"/>
      </w:pPr>
    </w:lvl>
    <w:lvl w:ilvl="5" w:tplc="040C0005">
      <w:start w:val="1"/>
      <w:numFmt w:val="decimal"/>
      <w:lvlText w:val="%6."/>
      <w:lvlJc w:val="left"/>
      <w:pPr>
        <w:tabs>
          <w:tab w:val="num" w:pos="3960"/>
        </w:tabs>
        <w:ind w:left="3960" w:hanging="360"/>
      </w:pPr>
    </w:lvl>
    <w:lvl w:ilvl="6" w:tplc="040C0001">
      <w:start w:val="1"/>
      <w:numFmt w:val="decimal"/>
      <w:lvlText w:val="%7."/>
      <w:lvlJc w:val="left"/>
      <w:pPr>
        <w:tabs>
          <w:tab w:val="num" w:pos="4680"/>
        </w:tabs>
        <w:ind w:left="4680" w:hanging="360"/>
      </w:pPr>
    </w:lvl>
    <w:lvl w:ilvl="7" w:tplc="040C0003">
      <w:start w:val="1"/>
      <w:numFmt w:val="decimal"/>
      <w:lvlText w:val="%8."/>
      <w:lvlJc w:val="left"/>
      <w:pPr>
        <w:tabs>
          <w:tab w:val="num" w:pos="5400"/>
        </w:tabs>
        <w:ind w:left="5400" w:hanging="360"/>
      </w:pPr>
    </w:lvl>
    <w:lvl w:ilvl="8" w:tplc="040C0005">
      <w:start w:val="1"/>
      <w:numFmt w:val="decimal"/>
      <w:lvlText w:val="%9."/>
      <w:lvlJc w:val="left"/>
      <w:pPr>
        <w:tabs>
          <w:tab w:val="num" w:pos="6120"/>
        </w:tabs>
        <w:ind w:left="6120" w:hanging="360"/>
      </w:pPr>
    </w:lvl>
  </w:abstractNum>
  <w:abstractNum w:abstractNumId="6" w15:restartNumberingAfterBreak="0">
    <w:nsid w:val="1746166F"/>
    <w:multiLevelType w:val="hybridMultilevel"/>
    <w:tmpl w:val="26C80928"/>
    <w:lvl w:ilvl="0" w:tplc="040C0017">
      <w:start w:val="1"/>
      <w:numFmt w:val="lowerLetter"/>
      <w:lvlText w:val="%1)"/>
      <w:lvlJc w:val="left"/>
      <w:pPr>
        <w:ind w:left="720" w:hanging="360"/>
      </w:pPr>
      <w:rPr>
        <w:rFonts w:hint="default" w:ascii="Times New Roman" w:hAnsi="Times New Roman" w:cs="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9297B90"/>
    <w:multiLevelType w:val="hybridMultilevel"/>
    <w:tmpl w:val="33828520"/>
    <w:lvl w:ilvl="0" w:tplc="040C0005">
      <w:start w:val="1"/>
      <w:numFmt w:val="bullet"/>
      <w:lvlText w:val=""/>
      <w:lvlJc w:val="left"/>
      <w:pPr>
        <w:ind w:left="305" w:hanging="360"/>
      </w:pPr>
      <w:rPr>
        <w:rFonts w:ascii="Wingdings" w:hAnsi="Wingdings" w:hint="default" w:cs="Times New Roman"/>
      </w:rPr>
    </w:lvl>
    <w:lvl w:ilvl="1" w:tplc="040C0003" w:tentative="1">
      <w:start w:val="1"/>
      <w:numFmt w:val="bullet"/>
      <w:lvlText w:val="o"/>
      <w:lvlJc w:val="left"/>
      <w:pPr>
        <w:ind w:left="1025" w:hanging="360"/>
      </w:pPr>
      <w:rPr>
        <w:rFonts w:ascii="Times New Roman" w:hAnsi="Times New Roman" w:cs="Times New Roman" w:hint="default"/>
      </w:rPr>
    </w:lvl>
    <w:lvl w:ilvl="2" w:tplc="040C0005" w:tentative="1">
      <w:start w:val="1"/>
      <w:numFmt w:val="bullet"/>
      <w:lvlText w:val=""/>
      <w:lvlJc w:val="left"/>
      <w:pPr>
        <w:ind w:left="1745" w:hanging="360"/>
      </w:pPr>
      <w:rPr>
        <w:rFonts w:ascii="Wingdings" w:hAnsi="Wingdings" w:hint="default" w:cs="Times New Roman"/>
      </w:rPr>
    </w:lvl>
    <w:lvl w:ilvl="3" w:tplc="040C0001" w:tentative="1">
      <w:start w:val="1"/>
      <w:numFmt w:val="bullet"/>
      <w:lvlText w:val=""/>
      <w:lvlJc w:val="left"/>
      <w:pPr>
        <w:ind w:left="2465" w:hanging="360"/>
      </w:pPr>
      <w:rPr>
        <w:rFonts w:ascii="Symbol" w:hAnsi="Symbol" w:hint="default" w:cs="Times New Roman"/>
      </w:rPr>
    </w:lvl>
    <w:lvl w:ilvl="4" w:tplc="040C0003" w:tentative="1">
      <w:start w:val="1"/>
      <w:numFmt w:val="bullet"/>
      <w:lvlText w:val="o"/>
      <w:lvlJc w:val="left"/>
      <w:pPr>
        <w:ind w:left="3185" w:hanging="360"/>
      </w:pPr>
      <w:rPr>
        <w:rFonts w:ascii="Times New Roman" w:hAnsi="Times New Roman" w:cs="Times New Roman" w:hint="default"/>
      </w:rPr>
    </w:lvl>
    <w:lvl w:ilvl="5" w:tplc="040C0005" w:tentative="1">
      <w:start w:val="1"/>
      <w:numFmt w:val="bullet"/>
      <w:lvlText w:val=""/>
      <w:lvlJc w:val="left"/>
      <w:pPr>
        <w:ind w:left="3905" w:hanging="360"/>
      </w:pPr>
      <w:rPr>
        <w:rFonts w:ascii="Wingdings" w:hAnsi="Wingdings" w:hint="default" w:cs="Times New Roman"/>
      </w:rPr>
    </w:lvl>
    <w:lvl w:ilvl="6" w:tplc="040C0001" w:tentative="1">
      <w:start w:val="1"/>
      <w:numFmt w:val="bullet"/>
      <w:lvlText w:val=""/>
      <w:lvlJc w:val="left"/>
      <w:pPr>
        <w:ind w:left="4625" w:hanging="360"/>
      </w:pPr>
      <w:rPr>
        <w:rFonts w:ascii="Symbol" w:hAnsi="Symbol" w:hint="default" w:cs="Times New Roman"/>
      </w:rPr>
    </w:lvl>
    <w:lvl w:ilvl="7" w:tplc="040C0003" w:tentative="1">
      <w:start w:val="1"/>
      <w:numFmt w:val="bullet"/>
      <w:lvlText w:val="o"/>
      <w:lvlJc w:val="left"/>
      <w:pPr>
        <w:ind w:left="5345" w:hanging="360"/>
      </w:pPr>
      <w:rPr>
        <w:rFonts w:ascii="Times New Roman" w:hAnsi="Times New Roman" w:cs="Times New Roman" w:hint="default"/>
      </w:rPr>
    </w:lvl>
    <w:lvl w:ilvl="8" w:tplc="040C0005" w:tentative="1">
      <w:start w:val="1"/>
      <w:numFmt w:val="bullet"/>
      <w:lvlText w:val=""/>
      <w:lvlJc w:val="left"/>
      <w:pPr>
        <w:ind w:left="6065" w:hanging="360"/>
      </w:pPr>
      <w:rPr>
        <w:rFonts w:ascii="Wingdings" w:hAnsi="Wingdings" w:hint="default" w:cs="Times New Roman"/>
      </w:rPr>
    </w:lvl>
  </w:abstractNum>
  <w:abstractNum w:abstractNumId="8" w15:restartNumberingAfterBreak="0">
    <w:nsid w:val="1ABD6B15"/>
    <w:multiLevelType w:val="hybridMultilevel"/>
    <w:tmpl w:val="ABE2AA0A"/>
    <w:lvl w:ilvl="0" w:tplc="040C000B">
      <w:start w:val="1"/>
      <w:numFmt w:val="bullet"/>
      <w:lvlText w:val=""/>
      <w:lvlJc w:val="left"/>
      <w:pPr>
        <w:ind w:left="720" w:hanging="360"/>
      </w:pPr>
      <w:rPr>
        <w:rFonts w:ascii="Wingdings" w:hAnsi="Wingdings" w:hint="default" w:cs="Times New Roman"/>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9" w15:restartNumberingAfterBreak="0">
    <w:nsid w:val="1E1B2F8B"/>
    <w:multiLevelType w:val="hybridMultilevel"/>
    <w:tmpl w:val="3BE8C800"/>
    <w:lvl w:ilvl="0" w:tplc="040C0005">
      <w:start w:val="1"/>
      <w:numFmt w:val="bullet"/>
      <w:lvlText w:val=""/>
      <w:lvlJc w:val="left"/>
      <w:pPr>
        <w:ind w:left="720" w:hanging="360"/>
      </w:pPr>
      <w:rPr>
        <w:rFonts w:ascii="Wingdings" w:hAnsi="Wingdings" w:hint="default" w:cs="Times New Roman"/>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10" w15:restartNumberingAfterBreak="0">
    <w:nsid w:val="1F6B130C"/>
    <w:multiLevelType w:val="hybridMultilevel"/>
    <w:tmpl w:val="BC409AD2"/>
    <w:lvl w:ilvl="0" w:tplc="040C0001">
      <w:start w:val="1"/>
      <w:numFmt w:val="bullet"/>
      <w:lvlText w:val=""/>
      <w:lvlJc w:val="left"/>
      <w:pPr>
        <w:ind w:left="720" w:hanging="360"/>
      </w:pPr>
      <w:rPr>
        <w:rFonts w:ascii="Symbol" w:hAnsi="Symbol" w:hint="default" w:cs="Times New Roman"/>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11" w15:restartNumberingAfterBreak="0">
    <w:nsid w:val="23664698"/>
    <w:multiLevelType w:val="hybridMultilevel"/>
    <w:tmpl w:val="6436F1A8"/>
    <w:lvl w:ilvl="0" w:tplc="5AACF0AA">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12" w15:restartNumberingAfterBreak="0">
    <w:nsid w:val="3360267A"/>
    <w:multiLevelType w:val="hybridMultilevel"/>
    <w:tmpl w:val="E870928E"/>
    <w:lvl w:ilvl="0" w:tplc="040C000F">
      <w:start w:val="1"/>
      <w:numFmt w:val="decimal"/>
      <w:lvlText w:val="%1."/>
      <w:lvlJc w:val="left"/>
      <w:pPr>
        <w:tabs>
          <w:tab w:val="num" w:pos="720"/>
        </w:tabs>
        <w:ind w:left="720" w:hanging="360"/>
      </w:pPr>
      <w:rPr>
        <w:rFonts w:hint="default" w:ascii="Times New Roman" w:hAnsi="Times New Roman" w:cs="Times New Roman"/>
      </w:rPr>
    </w:lvl>
    <w:lvl w:ilvl="1" w:tplc="040C0003">
      <w:start w:val="1"/>
      <w:numFmt w:val="bullet"/>
      <w:lvlText w:val="o"/>
      <w:lvlJc w:val="left"/>
      <w:pPr>
        <w:tabs>
          <w:tab w:val="num" w:pos="1440"/>
        </w:tabs>
        <w:ind w:left="1440" w:hanging="360"/>
      </w:pPr>
      <w:rPr>
        <w:rFonts w:ascii="Times New Roman" w:hAnsi="Times New Roman" w:cs="Times New Roman" w:hint="default"/>
      </w:r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38E3253D"/>
    <w:multiLevelType w:val="hybridMultilevel"/>
    <w:tmpl w:val="819264AC"/>
    <w:lvl w:ilvl="0" w:tplc="040C000B">
      <w:start w:val="1"/>
      <w:numFmt w:val="bullet"/>
      <w:lvlText w:val=""/>
      <w:lvlJc w:val="left"/>
      <w:pPr>
        <w:ind w:left="153" w:hanging="360"/>
      </w:pPr>
      <w:rPr>
        <w:rFonts w:ascii="Wingdings" w:hAnsi="Wingdings" w:hint="default" w:cs="Times New Roman"/>
      </w:rPr>
    </w:lvl>
    <w:lvl w:ilvl="1" w:tplc="040C0003" w:tentative="1">
      <w:start w:val="1"/>
      <w:numFmt w:val="bullet"/>
      <w:lvlText w:val="o"/>
      <w:lvlJc w:val="left"/>
      <w:pPr>
        <w:ind w:left="873" w:hanging="360"/>
      </w:pPr>
      <w:rPr>
        <w:rFonts w:ascii="Times New Roman" w:hAnsi="Times New Roman" w:cs="Times New Roman" w:hint="default"/>
      </w:rPr>
    </w:lvl>
    <w:lvl w:ilvl="2" w:tplc="040C0005" w:tentative="1">
      <w:start w:val="1"/>
      <w:numFmt w:val="bullet"/>
      <w:lvlText w:val=""/>
      <w:lvlJc w:val="left"/>
      <w:pPr>
        <w:ind w:left="1593" w:hanging="360"/>
      </w:pPr>
      <w:rPr>
        <w:rFonts w:ascii="Wingdings" w:hAnsi="Wingdings" w:hint="default" w:cs="Times New Roman"/>
      </w:rPr>
    </w:lvl>
    <w:lvl w:ilvl="3" w:tplc="040C0001" w:tentative="1">
      <w:start w:val="1"/>
      <w:numFmt w:val="bullet"/>
      <w:lvlText w:val=""/>
      <w:lvlJc w:val="left"/>
      <w:pPr>
        <w:ind w:left="2313" w:hanging="360"/>
      </w:pPr>
      <w:rPr>
        <w:rFonts w:ascii="Symbol" w:hAnsi="Symbol" w:hint="default" w:cs="Times New Roman"/>
      </w:rPr>
    </w:lvl>
    <w:lvl w:ilvl="4" w:tplc="040C0003" w:tentative="1">
      <w:start w:val="1"/>
      <w:numFmt w:val="bullet"/>
      <w:lvlText w:val="o"/>
      <w:lvlJc w:val="left"/>
      <w:pPr>
        <w:ind w:left="3033" w:hanging="360"/>
      </w:pPr>
      <w:rPr>
        <w:rFonts w:ascii="Times New Roman" w:hAnsi="Times New Roman" w:cs="Times New Roman" w:hint="default"/>
      </w:rPr>
    </w:lvl>
    <w:lvl w:ilvl="5" w:tplc="040C0005" w:tentative="1">
      <w:start w:val="1"/>
      <w:numFmt w:val="bullet"/>
      <w:lvlText w:val=""/>
      <w:lvlJc w:val="left"/>
      <w:pPr>
        <w:ind w:left="3753" w:hanging="360"/>
      </w:pPr>
      <w:rPr>
        <w:rFonts w:ascii="Wingdings" w:hAnsi="Wingdings" w:hint="default" w:cs="Times New Roman"/>
      </w:rPr>
    </w:lvl>
    <w:lvl w:ilvl="6" w:tplc="040C0001" w:tentative="1">
      <w:start w:val="1"/>
      <w:numFmt w:val="bullet"/>
      <w:lvlText w:val=""/>
      <w:lvlJc w:val="left"/>
      <w:pPr>
        <w:ind w:left="4473" w:hanging="360"/>
      </w:pPr>
      <w:rPr>
        <w:rFonts w:ascii="Symbol" w:hAnsi="Symbol" w:hint="default" w:cs="Times New Roman"/>
      </w:rPr>
    </w:lvl>
    <w:lvl w:ilvl="7" w:tplc="040C0003" w:tentative="1">
      <w:start w:val="1"/>
      <w:numFmt w:val="bullet"/>
      <w:lvlText w:val="o"/>
      <w:lvlJc w:val="left"/>
      <w:pPr>
        <w:ind w:left="5193" w:hanging="360"/>
      </w:pPr>
      <w:rPr>
        <w:rFonts w:ascii="Times New Roman" w:hAnsi="Times New Roman" w:cs="Times New Roman" w:hint="default"/>
      </w:rPr>
    </w:lvl>
    <w:lvl w:ilvl="8" w:tplc="040C0005" w:tentative="1">
      <w:start w:val="1"/>
      <w:numFmt w:val="bullet"/>
      <w:lvlText w:val=""/>
      <w:lvlJc w:val="left"/>
      <w:pPr>
        <w:ind w:left="5913" w:hanging="360"/>
      </w:pPr>
      <w:rPr>
        <w:rFonts w:ascii="Wingdings" w:hAnsi="Wingdings" w:hint="default" w:cs="Times New Roman"/>
      </w:rPr>
    </w:lvl>
  </w:abstractNum>
  <w:abstractNum w:abstractNumId="14" w15:restartNumberingAfterBreak="0">
    <w:nsid w:val="39123052"/>
    <w:multiLevelType w:val="hybridMultilevel"/>
    <w:tmpl w:val="5F3E5A6A"/>
    <w:lvl w:ilvl="0" w:tplc="040C0001">
      <w:start w:val="1"/>
      <w:numFmt w:val="bullet"/>
      <w:lvlText w:val=""/>
      <w:lvlJc w:val="left"/>
      <w:pPr>
        <w:ind w:left="153" w:hanging="360"/>
      </w:pPr>
      <w:rPr>
        <w:rFonts w:ascii="Symbol" w:hAnsi="Symbol" w:hint="default" w:cs="Times New Roman"/>
      </w:rPr>
    </w:lvl>
    <w:lvl w:ilvl="1" w:tplc="040C0003" w:tentative="1">
      <w:start w:val="1"/>
      <w:numFmt w:val="bullet"/>
      <w:lvlText w:val="o"/>
      <w:lvlJc w:val="left"/>
      <w:pPr>
        <w:ind w:left="873" w:hanging="360"/>
      </w:pPr>
      <w:rPr>
        <w:rFonts w:ascii="Times New Roman" w:hAnsi="Times New Roman" w:cs="Times New Roman" w:hint="default"/>
      </w:rPr>
    </w:lvl>
    <w:lvl w:ilvl="2" w:tplc="040C0005" w:tentative="1">
      <w:start w:val="1"/>
      <w:numFmt w:val="bullet"/>
      <w:lvlText w:val=""/>
      <w:lvlJc w:val="left"/>
      <w:pPr>
        <w:ind w:left="1593" w:hanging="360"/>
      </w:pPr>
      <w:rPr>
        <w:rFonts w:ascii="Wingdings" w:hAnsi="Wingdings" w:hint="default" w:cs="Times New Roman"/>
      </w:rPr>
    </w:lvl>
    <w:lvl w:ilvl="3" w:tplc="040C0001" w:tentative="1">
      <w:start w:val="1"/>
      <w:numFmt w:val="bullet"/>
      <w:lvlText w:val=""/>
      <w:lvlJc w:val="left"/>
      <w:pPr>
        <w:ind w:left="2313" w:hanging="360"/>
      </w:pPr>
      <w:rPr>
        <w:rFonts w:ascii="Symbol" w:hAnsi="Symbol" w:hint="default" w:cs="Times New Roman"/>
      </w:rPr>
    </w:lvl>
    <w:lvl w:ilvl="4" w:tplc="040C0003" w:tentative="1">
      <w:start w:val="1"/>
      <w:numFmt w:val="bullet"/>
      <w:lvlText w:val="o"/>
      <w:lvlJc w:val="left"/>
      <w:pPr>
        <w:ind w:left="3033" w:hanging="360"/>
      </w:pPr>
      <w:rPr>
        <w:rFonts w:ascii="Times New Roman" w:hAnsi="Times New Roman" w:cs="Times New Roman" w:hint="default"/>
      </w:rPr>
    </w:lvl>
    <w:lvl w:ilvl="5" w:tplc="040C0005" w:tentative="1">
      <w:start w:val="1"/>
      <w:numFmt w:val="bullet"/>
      <w:lvlText w:val=""/>
      <w:lvlJc w:val="left"/>
      <w:pPr>
        <w:ind w:left="3753" w:hanging="360"/>
      </w:pPr>
      <w:rPr>
        <w:rFonts w:ascii="Wingdings" w:hAnsi="Wingdings" w:hint="default" w:cs="Times New Roman"/>
      </w:rPr>
    </w:lvl>
    <w:lvl w:ilvl="6" w:tplc="040C0001" w:tentative="1">
      <w:start w:val="1"/>
      <w:numFmt w:val="bullet"/>
      <w:lvlText w:val=""/>
      <w:lvlJc w:val="left"/>
      <w:pPr>
        <w:ind w:left="4473" w:hanging="360"/>
      </w:pPr>
      <w:rPr>
        <w:rFonts w:ascii="Symbol" w:hAnsi="Symbol" w:hint="default" w:cs="Times New Roman"/>
      </w:rPr>
    </w:lvl>
    <w:lvl w:ilvl="7" w:tplc="040C0003" w:tentative="1">
      <w:start w:val="1"/>
      <w:numFmt w:val="bullet"/>
      <w:lvlText w:val="o"/>
      <w:lvlJc w:val="left"/>
      <w:pPr>
        <w:ind w:left="5193" w:hanging="360"/>
      </w:pPr>
      <w:rPr>
        <w:rFonts w:ascii="Times New Roman" w:hAnsi="Times New Roman" w:cs="Times New Roman" w:hint="default"/>
      </w:rPr>
    </w:lvl>
    <w:lvl w:ilvl="8" w:tplc="040C0005" w:tentative="1">
      <w:start w:val="1"/>
      <w:numFmt w:val="bullet"/>
      <w:lvlText w:val=""/>
      <w:lvlJc w:val="left"/>
      <w:pPr>
        <w:ind w:left="5913" w:hanging="360"/>
      </w:pPr>
      <w:rPr>
        <w:rFonts w:ascii="Wingdings" w:hAnsi="Wingdings" w:hint="default" w:cs="Times New Roman"/>
      </w:rPr>
    </w:lvl>
  </w:abstractNum>
  <w:abstractNum w:abstractNumId="15" w15:restartNumberingAfterBreak="0">
    <w:nsid w:val="3D8F51DE"/>
    <w:multiLevelType w:val="hybridMultilevel"/>
    <w:tmpl w:val="D1C28624"/>
    <w:lvl w:ilvl="0" w:tplc="1E1A3E92">
      <w:start w:val="1"/>
      <w:numFmt w:val="lowerLetter"/>
      <w:lvlText w:val="(%1)"/>
      <w:lvlJc w:val="left"/>
      <w:pPr>
        <w:ind w:left="720" w:hanging="360"/>
      </w:pPr>
      <w:rPr>
        <w:rFonts w:hint="default" w:ascii="Times New Roman" w:hAnsi="Times New Roman" w:cs="Times New Roman"/>
        <w:w w:val="100"/>
        <w:sz w:val="22"/>
        <w:szCs w:val="22"/>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16" w15:restartNumberingAfterBreak="0">
    <w:nsid w:val="3D984071"/>
    <w:multiLevelType w:val="hybridMultilevel"/>
    <w:tmpl w:val="DE841F66"/>
    <w:lvl w:ilvl="0" w:tplc="C4E894AA">
      <w:start w:val="1"/>
      <w:numFmt w:val="decimal"/>
      <w:lvlText w:val="%1)"/>
      <w:lvlJc w:val="left"/>
      <w:pPr>
        <w:tabs>
          <w:tab w:val="num" w:pos="383"/>
        </w:tabs>
        <w:ind w:left="383" w:hanging="360"/>
      </w:pPr>
      <w:rPr>
        <w:rFonts w:hint="default" w:ascii="Times New Roman" w:hAnsi="Times New Roman" w:cs="Times New Roman"/>
        <w:b/>
      </w:rPr>
    </w:lvl>
    <w:lvl w:ilvl="1" w:tplc="040C0019" w:tentative="1">
      <w:start w:val="1"/>
      <w:numFmt w:val="lowerLetter"/>
      <w:lvlText w:val="%2."/>
      <w:lvlJc w:val="left"/>
      <w:pPr>
        <w:tabs>
          <w:tab w:val="num" w:pos="1103"/>
        </w:tabs>
        <w:ind w:left="1103" w:hanging="360"/>
      </w:pPr>
    </w:lvl>
    <w:lvl w:ilvl="2" w:tplc="040C001B" w:tentative="1">
      <w:start w:val="1"/>
      <w:numFmt w:val="lowerRoman"/>
      <w:lvlText w:val="%3."/>
      <w:lvlJc w:val="right"/>
      <w:pPr>
        <w:tabs>
          <w:tab w:val="num" w:pos="1823"/>
        </w:tabs>
        <w:ind w:left="1823" w:hanging="180"/>
      </w:pPr>
    </w:lvl>
    <w:lvl w:ilvl="3" w:tplc="040C000F" w:tentative="1">
      <w:start w:val="1"/>
      <w:numFmt w:val="decimal"/>
      <w:lvlText w:val="%4."/>
      <w:lvlJc w:val="left"/>
      <w:pPr>
        <w:tabs>
          <w:tab w:val="num" w:pos="2543"/>
        </w:tabs>
        <w:ind w:left="2543" w:hanging="360"/>
      </w:pPr>
    </w:lvl>
    <w:lvl w:ilvl="4" w:tplc="040C0019" w:tentative="1">
      <w:start w:val="1"/>
      <w:numFmt w:val="lowerLetter"/>
      <w:lvlText w:val="%5."/>
      <w:lvlJc w:val="left"/>
      <w:pPr>
        <w:tabs>
          <w:tab w:val="num" w:pos="3263"/>
        </w:tabs>
        <w:ind w:left="3263" w:hanging="360"/>
      </w:pPr>
    </w:lvl>
    <w:lvl w:ilvl="5" w:tplc="040C001B" w:tentative="1">
      <w:start w:val="1"/>
      <w:numFmt w:val="lowerRoman"/>
      <w:lvlText w:val="%6."/>
      <w:lvlJc w:val="right"/>
      <w:pPr>
        <w:tabs>
          <w:tab w:val="num" w:pos="3983"/>
        </w:tabs>
        <w:ind w:left="3983" w:hanging="180"/>
      </w:pPr>
    </w:lvl>
    <w:lvl w:ilvl="6" w:tplc="040C000F" w:tentative="1">
      <w:start w:val="1"/>
      <w:numFmt w:val="decimal"/>
      <w:lvlText w:val="%7."/>
      <w:lvlJc w:val="left"/>
      <w:pPr>
        <w:tabs>
          <w:tab w:val="num" w:pos="4703"/>
        </w:tabs>
        <w:ind w:left="4703" w:hanging="360"/>
      </w:pPr>
    </w:lvl>
    <w:lvl w:ilvl="7" w:tplc="040C0019" w:tentative="1">
      <w:start w:val="1"/>
      <w:numFmt w:val="lowerLetter"/>
      <w:lvlText w:val="%8."/>
      <w:lvlJc w:val="left"/>
      <w:pPr>
        <w:tabs>
          <w:tab w:val="num" w:pos="5423"/>
        </w:tabs>
        <w:ind w:left="5423" w:hanging="360"/>
      </w:pPr>
    </w:lvl>
    <w:lvl w:ilvl="8" w:tplc="040C001B" w:tentative="1">
      <w:start w:val="1"/>
      <w:numFmt w:val="lowerRoman"/>
      <w:lvlText w:val="%9."/>
      <w:lvlJc w:val="right"/>
      <w:pPr>
        <w:tabs>
          <w:tab w:val="num" w:pos="6143"/>
        </w:tabs>
        <w:ind w:left="6143" w:hanging="180"/>
      </w:pPr>
    </w:lvl>
  </w:abstractNum>
  <w:abstractNum w:abstractNumId="17" w15:restartNumberingAfterBreak="0">
    <w:nsid w:val="3FBB342D"/>
    <w:multiLevelType w:val="hybridMultilevel"/>
    <w:tmpl w:val="2A64B92A"/>
    <w:lvl w:ilvl="0" w:tplc="0CE64BCE">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07924E9"/>
    <w:multiLevelType w:val="multilevel"/>
    <w:tmpl w:val="54049D54"/>
    <w:lvl w:ilvl="0">
      <w:start w:val="1"/>
      <w:numFmt w:val="bullet"/>
      <w:lvlText w:val=""/>
      <w:lvlJc w:val="left"/>
      <w:pPr>
        <w:tabs>
          <w:tab w:val="num" w:pos="720"/>
        </w:tabs>
        <w:ind w:left="720" w:hanging="360"/>
      </w:pPr>
      <w:rPr>
        <w:rFonts w:ascii="Symbol" w:hAnsi="Symbol" w:hint="default" w:cs="Times New Roman"/>
        <w:sz w:val="20"/>
      </w:rPr>
    </w:lvl>
    <w:lvl w:ilvl="1">
      <w:start w:val="1"/>
      <w:numFmt w:val="bullet"/>
      <w:lvlText w:val="o"/>
      <w:lvlJc w:val="left"/>
      <w:pPr>
        <w:tabs>
          <w:tab w:val="num" w:pos="1440"/>
        </w:tabs>
        <w:ind w:left="1440" w:hanging="360"/>
      </w:pPr>
      <w:rPr>
        <w:rFonts w:ascii="Times New Roman" w:hAnsi="Times New Roman" w:hint="default" w:cs="Times New Roman"/>
        <w:sz w:val="20"/>
      </w:rPr>
    </w:lvl>
    <w:lvl w:ilvl="2" w:tentative="1">
      <w:start w:val="1"/>
      <w:numFmt w:val="bullet"/>
      <w:lvlText w:val=""/>
      <w:lvlJc w:val="left"/>
      <w:pPr>
        <w:tabs>
          <w:tab w:val="num" w:pos="2160"/>
        </w:tabs>
        <w:ind w:left="2160" w:hanging="360"/>
      </w:pPr>
      <w:rPr>
        <w:rFonts w:ascii="Wingdings" w:hAnsi="Wingdings" w:hint="default" w:cs="Times New Roman"/>
        <w:sz w:val="20"/>
      </w:rPr>
    </w:lvl>
    <w:lvl w:ilvl="3" w:tentative="1">
      <w:start w:val="1"/>
      <w:numFmt w:val="bullet"/>
      <w:lvlText w:val=""/>
      <w:lvlJc w:val="left"/>
      <w:pPr>
        <w:tabs>
          <w:tab w:val="num" w:pos="2880"/>
        </w:tabs>
        <w:ind w:left="2880" w:hanging="360"/>
      </w:pPr>
      <w:rPr>
        <w:rFonts w:ascii="Wingdings" w:hAnsi="Wingdings" w:hint="default" w:cs="Times New Roman"/>
        <w:sz w:val="20"/>
      </w:rPr>
    </w:lvl>
    <w:lvl w:ilvl="4" w:tentative="1">
      <w:start w:val="1"/>
      <w:numFmt w:val="bullet"/>
      <w:lvlText w:val=""/>
      <w:lvlJc w:val="left"/>
      <w:pPr>
        <w:tabs>
          <w:tab w:val="num" w:pos="3600"/>
        </w:tabs>
        <w:ind w:left="3600" w:hanging="360"/>
      </w:pPr>
      <w:rPr>
        <w:rFonts w:ascii="Wingdings" w:hAnsi="Wingdings" w:hint="default" w:cs="Times New Roman"/>
        <w:sz w:val="20"/>
      </w:rPr>
    </w:lvl>
    <w:lvl w:ilvl="5" w:tentative="1">
      <w:start w:val="1"/>
      <w:numFmt w:val="bullet"/>
      <w:lvlText w:val=""/>
      <w:lvlJc w:val="left"/>
      <w:pPr>
        <w:tabs>
          <w:tab w:val="num" w:pos="4320"/>
        </w:tabs>
        <w:ind w:left="4320" w:hanging="360"/>
      </w:pPr>
      <w:rPr>
        <w:rFonts w:ascii="Wingdings" w:hAnsi="Wingdings" w:hint="default" w:cs="Times New Roman"/>
        <w:sz w:val="20"/>
      </w:rPr>
    </w:lvl>
    <w:lvl w:ilvl="6" w:tentative="1">
      <w:start w:val="1"/>
      <w:numFmt w:val="bullet"/>
      <w:lvlText w:val=""/>
      <w:lvlJc w:val="left"/>
      <w:pPr>
        <w:tabs>
          <w:tab w:val="num" w:pos="5040"/>
        </w:tabs>
        <w:ind w:left="5040" w:hanging="360"/>
      </w:pPr>
      <w:rPr>
        <w:rFonts w:ascii="Wingdings" w:hAnsi="Wingdings" w:hint="default" w:cs="Times New Roman"/>
        <w:sz w:val="20"/>
      </w:rPr>
    </w:lvl>
    <w:lvl w:ilvl="7" w:tentative="1">
      <w:start w:val="1"/>
      <w:numFmt w:val="bullet"/>
      <w:lvlText w:val=""/>
      <w:lvlJc w:val="left"/>
      <w:pPr>
        <w:tabs>
          <w:tab w:val="num" w:pos="5760"/>
        </w:tabs>
        <w:ind w:left="5760" w:hanging="360"/>
      </w:pPr>
      <w:rPr>
        <w:rFonts w:ascii="Wingdings" w:hAnsi="Wingdings" w:hint="default" w:cs="Times New Roman"/>
        <w:sz w:val="20"/>
      </w:rPr>
    </w:lvl>
    <w:lvl w:ilvl="8" w:tentative="1">
      <w:start w:val="1"/>
      <w:numFmt w:val="bullet"/>
      <w:lvlText w:val=""/>
      <w:lvlJc w:val="left"/>
      <w:pPr>
        <w:tabs>
          <w:tab w:val="num" w:pos="6480"/>
        </w:tabs>
        <w:ind w:left="6480" w:hanging="360"/>
      </w:pPr>
      <w:rPr>
        <w:rFonts w:ascii="Wingdings" w:hAnsi="Wingdings" w:hint="default" w:cs="Times New Roman"/>
        <w:sz w:val="20"/>
      </w:rPr>
    </w:lvl>
  </w:abstractNum>
  <w:abstractNum w:abstractNumId="19" w15:restartNumberingAfterBreak="0">
    <w:nsid w:val="4249297C"/>
    <w:multiLevelType w:val="hybridMultilevel"/>
    <w:tmpl w:val="DD2EB950"/>
    <w:lvl w:ilvl="0" w:tplc="040C000B">
      <w:start w:val="1"/>
      <w:numFmt w:val="bullet"/>
      <w:lvlText w:val=""/>
      <w:lvlJc w:val="left"/>
      <w:pPr>
        <w:ind w:left="720" w:hanging="360"/>
      </w:pPr>
      <w:rPr>
        <w:rFonts w:ascii="Wingdings" w:hAnsi="Wingdings" w:hint="default" w:cs="Times New Roman"/>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20" w15:restartNumberingAfterBreak="0">
    <w:nsid w:val="42493D1E"/>
    <w:multiLevelType w:val="hybridMultilevel"/>
    <w:tmpl w:val="EA44C4FC"/>
    <w:lvl w:ilvl="0" w:tplc="040C0009">
      <w:start w:val="1"/>
      <w:numFmt w:val="bullet"/>
      <w:lvlText w:val=""/>
      <w:lvlJc w:val="left"/>
      <w:pPr>
        <w:ind w:left="720" w:hanging="360"/>
      </w:pPr>
      <w:rPr>
        <w:rFonts w:ascii="Wingdings" w:hAnsi="Wingdings" w:hint="default" w:cs="Times New Roman"/>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21" w15:restartNumberingAfterBreak="0">
    <w:nsid w:val="44F64C53"/>
    <w:multiLevelType w:val="hybridMultilevel"/>
    <w:tmpl w:val="A91AD836"/>
    <w:lvl w:ilvl="0" w:tplc="040C0001">
      <w:start w:val="1"/>
      <w:numFmt w:val="bullet"/>
      <w:lvlText w:val=""/>
      <w:lvlJc w:val="left"/>
      <w:pPr>
        <w:ind w:left="720" w:hanging="360"/>
      </w:pPr>
      <w:rPr>
        <w:rFonts w:ascii="Symbol" w:hAnsi="Symbol" w:hint="default" w:cs="Times New Roman"/>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22" w15:restartNumberingAfterBreak="0">
    <w:nsid w:val="47B8243C"/>
    <w:multiLevelType w:val="hybridMultilevel"/>
    <w:tmpl w:val="A210BE2A"/>
    <w:lvl w:ilvl="0" w:tplc="040C0003">
      <w:start w:val="1"/>
      <w:numFmt w:val="bullet"/>
      <w:lvlText w:val="o"/>
      <w:lvlJc w:val="left"/>
      <w:pPr>
        <w:ind w:left="153" w:hanging="360"/>
      </w:pPr>
      <w:rPr>
        <w:rFonts w:ascii="Times New Roman" w:hAnsi="Times New Roman" w:cs="Times New Roman" w:hint="default"/>
      </w:rPr>
    </w:lvl>
    <w:lvl w:ilvl="1" w:tplc="040C0003" w:tentative="1">
      <w:start w:val="1"/>
      <w:numFmt w:val="bullet"/>
      <w:lvlText w:val="o"/>
      <w:lvlJc w:val="left"/>
      <w:pPr>
        <w:ind w:left="873" w:hanging="360"/>
      </w:pPr>
      <w:rPr>
        <w:rFonts w:ascii="Times New Roman" w:hAnsi="Times New Roman" w:cs="Times New Roman" w:hint="default"/>
      </w:rPr>
    </w:lvl>
    <w:lvl w:ilvl="2" w:tplc="040C0005" w:tentative="1">
      <w:start w:val="1"/>
      <w:numFmt w:val="bullet"/>
      <w:lvlText w:val=""/>
      <w:lvlJc w:val="left"/>
      <w:pPr>
        <w:ind w:left="1593" w:hanging="360"/>
      </w:pPr>
      <w:rPr>
        <w:rFonts w:ascii="Wingdings" w:hAnsi="Wingdings" w:hint="default" w:cs="Times New Roman"/>
      </w:rPr>
    </w:lvl>
    <w:lvl w:ilvl="3" w:tplc="040C0001" w:tentative="1">
      <w:start w:val="1"/>
      <w:numFmt w:val="bullet"/>
      <w:lvlText w:val=""/>
      <w:lvlJc w:val="left"/>
      <w:pPr>
        <w:ind w:left="2313" w:hanging="360"/>
      </w:pPr>
      <w:rPr>
        <w:rFonts w:ascii="Symbol" w:hAnsi="Symbol" w:hint="default" w:cs="Times New Roman"/>
      </w:rPr>
    </w:lvl>
    <w:lvl w:ilvl="4" w:tplc="040C0003" w:tentative="1">
      <w:start w:val="1"/>
      <w:numFmt w:val="bullet"/>
      <w:lvlText w:val="o"/>
      <w:lvlJc w:val="left"/>
      <w:pPr>
        <w:ind w:left="3033" w:hanging="360"/>
      </w:pPr>
      <w:rPr>
        <w:rFonts w:ascii="Times New Roman" w:hAnsi="Times New Roman" w:cs="Times New Roman" w:hint="default"/>
      </w:rPr>
    </w:lvl>
    <w:lvl w:ilvl="5" w:tplc="040C0005" w:tentative="1">
      <w:start w:val="1"/>
      <w:numFmt w:val="bullet"/>
      <w:lvlText w:val=""/>
      <w:lvlJc w:val="left"/>
      <w:pPr>
        <w:ind w:left="3753" w:hanging="360"/>
      </w:pPr>
      <w:rPr>
        <w:rFonts w:ascii="Wingdings" w:hAnsi="Wingdings" w:hint="default" w:cs="Times New Roman"/>
      </w:rPr>
    </w:lvl>
    <w:lvl w:ilvl="6" w:tplc="040C0001" w:tentative="1">
      <w:start w:val="1"/>
      <w:numFmt w:val="bullet"/>
      <w:lvlText w:val=""/>
      <w:lvlJc w:val="left"/>
      <w:pPr>
        <w:ind w:left="4473" w:hanging="360"/>
      </w:pPr>
      <w:rPr>
        <w:rFonts w:ascii="Symbol" w:hAnsi="Symbol" w:hint="default" w:cs="Times New Roman"/>
      </w:rPr>
    </w:lvl>
    <w:lvl w:ilvl="7" w:tplc="040C0003" w:tentative="1">
      <w:start w:val="1"/>
      <w:numFmt w:val="bullet"/>
      <w:lvlText w:val="o"/>
      <w:lvlJc w:val="left"/>
      <w:pPr>
        <w:ind w:left="5193" w:hanging="360"/>
      </w:pPr>
      <w:rPr>
        <w:rFonts w:ascii="Times New Roman" w:hAnsi="Times New Roman" w:cs="Times New Roman" w:hint="default"/>
      </w:rPr>
    </w:lvl>
    <w:lvl w:ilvl="8" w:tplc="040C0005" w:tentative="1">
      <w:start w:val="1"/>
      <w:numFmt w:val="bullet"/>
      <w:lvlText w:val=""/>
      <w:lvlJc w:val="left"/>
      <w:pPr>
        <w:ind w:left="5913" w:hanging="360"/>
      </w:pPr>
      <w:rPr>
        <w:rFonts w:ascii="Wingdings" w:hAnsi="Wingdings" w:hint="default" w:cs="Times New Roman"/>
      </w:rPr>
    </w:lvl>
  </w:abstractNum>
  <w:abstractNum w:abstractNumId="23" w15:restartNumberingAfterBreak="0">
    <w:nsid w:val="487C0084"/>
    <w:multiLevelType w:val="multilevel"/>
    <w:tmpl w:val="7C509A04"/>
    <w:lvl w:ilvl="0">
      <w:start w:val="1"/>
      <w:numFmt w:val="decimal"/>
      <w:lvlText w:val="%1."/>
      <w:lvlJc w:val="left"/>
      <w:pPr>
        <w:ind w:left="360" w:hanging="360"/>
      </w:pPr>
      <w:rPr>
        <w:rFonts w:hint="default" w:ascii="Times New Roman" w:hAnsi="Times New Roman" w:cs="Times New Roman"/>
      </w:rPr>
    </w:lvl>
    <w:lvl w:ilvl="1">
      <w:start w:val="1"/>
      <w:numFmt w:val="decimal"/>
      <w:lvlText w:val="%1.%2."/>
      <w:lvlJc w:val="left"/>
      <w:pPr>
        <w:ind w:left="360" w:hanging="360"/>
      </w:pPr>
      <w:rPr>
        <w:rFonts w:hint="default" w:ascii="Times New Roman" w:hAnsi="Times New Roman" w:cs="Times New Roman"/>
      </w:rPr>
    </w:lvl>
    <w:lvl w:ilvl="2">
      <w:start w:val="1"/>
      <w:numFmt w:val="decimal"/>
      <w:lvlText w:val="%1.%2.%3."/>
      <w:lvlJc w:val="left"/>
      <w:pPr>
        <w:ind w:left="720" w:hanging="720"/>
      </w:pPr>
      <w:rPr>
        <w:rFonts w:hint="default" w:ascii="Times New Roman" w:hAnsi="Times New Roman" w:cs="Times New Roman"/>
      </w:rPr>
    </w:lvl>
    <w:lvl w:ilvl="3">
      <w:start w:val="1"/>
      <w:numFmt w:val="decimal"/>
      <w:lvlText w:val="%1.%2.%3.%4."/>
      <w:lvlJc w:val="left"/>
      <w:pPr>
        <w:ind w:left="720" w:hanging="720"/>
      </w:pPr>
      <w:rPr>
        <w:rFonts w:hint="default" w:ascii="Times New Roman" w:hAnsi="Times New Roman" w:cs="Times New Roman"/>
      </w:rPr>
    </w:lvl>
    <w:lvl w:ilvl="4">
      <w:start w:val="1"/>
      <w:numFmt w:val="decimal"/>
      <w:lvlText w:val="%1.%2.%3.%4.%5."/>
      <w:lvlJc w:val="left"/>
      <w:pPr>
        <w:ind w:left="1080" w:hanging="1080"/>
      </w:pPr>
      <w:rPr>
        <w:rFonts w:hint="default" w:ascii="Times New Roman" w:hAnsi="Times New Roman" w:cs="Times New Roman"/>
      </w:rPr>
    </w:lvl>
    <w:lvl w:ilvl="5">
      <w:start w:val="1"/>
      <w:numFmt w:val="decimal"/>
      <w:lvlText w:val="%1.%2.%3.%4.%5.%6."/>
      <w:lvlJc w:val="left"/>
      <w:pPr>
        <w:ind w:left="1080" w:hanging="1080"/>
      </w:pPr>
      <w:rPr>
        <w:rFonts w:hint="default" w:ascii="Times New Roman" w:hAnsi="Times New Roman" w:cs="Times New Roman"/>
      </w:rPr>
    </w:lvl>
    <w:lvl w:ilvl="6">
      <w:start w:val="1"/>
      <w:numFmt w:val="decimal"/>
      <w:lvlText w:val="%1.%2.%3.%4.%5.%6.%7."/>
      <w:lvlJc w:val="left"/>
      <w:pPr>
        <w:ind w:left="1440" w:hanging="1440"/>
      </w:pPr>
      <w:rPr>
        <w:rFonts w:hint="default" w:ascii="Times New Roman" w:hAnsi="Times New Roman" w:cs="Times New Roman"/>
      </w:rPr>
    </w:lvl>
    <w:lvl w:ilvl="7">
      <w:start w:val="1"/>
      <w:numFmt w:val="decimal"/>
      <w:lvlText w:val="%1.%2.%3.%4.%5.%6.%7.%8."/>
      <w:lvlJc w:val="left"/>
      <w:pPr>
        <w:ind w:left="1440" w:hanging="1440"/>
      </w:pPr>
      <w:rPr>
        <w:rFonts w:hint="default" w:ascii="Times New Roman" w:hAnsi="Times New Roman" w:cs="Times New Roman"/>
      </w:rPr>
    </w:lvl>
    <w:lvl w:ilvl="8">
      <w:start w:val="1"/>
      <w:numFmt w:val="decimal"/>
      <w:lvlText w:val="%1.%2.%3.%4.%5.%6.%7.%8.%9."/>
      <w:lvlJc w:val="left"/>
      <w:pPr>
        <w:ind w:left="1800" w:hanging="1800"/>
      </w:pPr>
      <w:rPr>
        <w:rFonts w:hint="default" w:ascii="Times New Roman" w:hAnsi="Times New Roman" w:cs="Times New Roman"/>
      </w:rPr>
    </w:lvl>
  </w:abstractNum>
  <w:abstractNum w:abstractNumId="24" w15:restartNumberingAfterBreak="0">
    <w:nsid w:val="4BD01D36"/>
    <w:multiLevelType w:val="hybridMultilevel"/>
    <w:tmpl w:val="A2CE33C6"/>
    <w:lvl w:ilvl="0" w:tplc="BC767C58">
      <w:start w:val="1"/>
      <w:numFmt w:val="decimal"/>
      <w:lvlText w:val="1.%1."/>
      <w:lvlJc w:val="left"/>
      <w:pPr>
        <w:ind w:left="720" w:hanging="360"/>
      </w:pPr>
      <w:rPr>
        <w:rFonts w:hint="default" w:ascii="Times New Roman" w:hAnsi="Times New Roman" w:cs="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CAB752A"/>
    <w:multiLevelType w:val="hybridMultilevel"/>
    <w:tmpl w:val="3FEA46A8"/>
    <w:lvl w:ilvl="0" w:tplc="040C0003">
      <w:start w:val="1"/>
      <w:numFmt w:val="bullet"/>
      <w:lvlText w:val="o"/>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26" w15:restartNumberingAfterBreak="0">
    <w:nsid w:val="4ED04CC8"/>
    <w:multiLevelType w:val="hybridMultilevel"/>
    <w:tmpl w:val="B39268AA"/>
    <w:lvl w:ilvl="0" w:tplc="9384C026">
      <w:start w:val="1"/>
      <w:numFmt w:val="lowerRoman"/>
      <w:lvlText w:val="%1)"/>
      <w:lvlJc w:val="right"/>
      <w:pPr>
        <w:ind w:left="720" w:hanging="360"/>
      </w:pPr>
      <w:rPr>
        <w:rFonts w:hint="default" w:ascii="Times New Roman" w:hAnsi="Times New Roman" w:cs="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0BC70E9"/>
    <w:multiLevelType w:val="hybridMultilevel"/>
    <w:tmpl w:val="BEA0B8CC"/>
    <w:lvl w:ilvl="0" w:tplc="040C0003">
      <w:start w:val="1"/>
      <w:numFmt w:val="bullet"/>
      <w:lvlText w:val="o"/>
      <w:lvlJc w:val="left"/>
      <w:pPr>
        <w:ind w:left="1069" w:hanging="360"/>
      </w:pPr>
      <w:rPr>
        <w:rFonts w:ascii="Times New Roman" w:hAnsi="Times New Roman" w:cs="Times New Roman" w:hint="default"/>
      </w:rPr>
    </w:lvl>
    <w:lvl w:ilvl="1" w:tplc="040C0003" w:tentative="1">
      <w:start w:val="1"/>
      <w:numFmt w:val="bullet"/>
      <w:lvlText w:val="o"/>
      <w:lvlJc w:val="left"/>
      <w:pPr>
        <w:ind w:left="1789" w:hanging="360"/>
      </w:pPr>
      <w:rPr>
        <w:rFonts w:ascii="Times New Roman" w:hAnsi="Times New Roman" w:cs="Times New Roman" w:hint="default"/>
      </w:rPr>
    </w:lvl>
    <w:lvl w:ilvl="2" w:tplc="040C0005" w:tentative="1">
      <w:start w:val="1"/>
      <w:numFmt w:val="bullet"/>
      <w:lvlText w:val=""/>
      <w:lvlJc w:val="left"/>
      <w:pPr>
        <w:ind w:left="2509" w:hanging="360"/>
      </w:pPr>
      <w:rPr>
        <w:rFonts w:ascii="Wingdings" w:hAnsi="Wingdings" w:hint="default" w:cs="Times New Roman"/>
      </w:rPr>
    </w:lvl>
    <w:lvl w:ilvl="3" w:tplc="040C0001" w:tentative="1">
      <w:start w:val="1"/>
      <w:numFmt w:val="bullet"/>
      <w:lvlText w:val=""/>
      <w:lvlJc w:val="left"/>
      <w:pPr>
        <w:ind w:left="3229" w:hanging="360"/>
      </w:pPr>
      <w:rPr>
        <w:rFonts w:ascii="Symbol" w:hAnsi="Symbol" w:hint="default" w:cs="Times New Roman"/>
      </w:rPr>
    </w:lvl>
    <w:lvl w:ilvl="4" w:tplc="040C0003" w:tentative="1">
      <w:start w:val="1"/>
      <w:numFmt w:val="bullet"/>
      <w:lvlText w:val="o"/>
      <w:lvlJc w:val="left"/>
      <w:pPr>
        <w:ind w:left="3949" w:hanging="360"/>
      </w:pPr>
      <w:rPr>
        <w:rFonts w:ascii="Times New Roman" w:hAnsi="Times New Roman" w:cs="Times New Roman" w:hint="default"/>
      </w:rPr>
    </w:lvl>
    <w:lvl w:ilvl="5" w:tplc="040C0005" w:tentative="1">
      <w:start w:val="1"/>
      <w:numFmt w:val="bullet"/>
      <w:lvlText w:val=""/>
      <w:lvlJc w:val="left"/>
      <w:pPr>
        <w:ind w:left="4669" w:hanging="360"/>
      </w:pPr>
      <w:rPr>
        <w:rFonts w:ascii="Wingdings" w:hAnsi="Wingdings" w:hint="default" w:cs="Times New Roman"/>
      </w:rPr>
    </w:lvl>
    <w:lvl w:ilvl="6" w:tplc="040C0001" w:tentative="1">
      <w:start w:val="1"/>
      <w:numFmt w:val="bullet"/>
      <w:lvlText w:val=""/>
      <w:lvlJc w:val="left"/>
      <w:pPr>
        <w:ind w:left="5389" w:hanging="360"/>
      </w:pPr>
      <w:rPr>
        <w:rFonts w:ascii="Symbol" w:hAnsi="Symbol" w:hint="default" w:cs="Times New Roman"/>
      </w:rPr>
    </w:lvl>
    <w:lvl w:ilvl="7" w:tplc="040C0003" w:tentative="1">
      <w:start w:val="1"/>
      <w:numFmt w:val="bullet"/>
      <w:lvlText w:val="o"/>
      <w:lvlJc w:val="left"/>
      <w:pPr>
        <w:ind w:left="6109" w:hanging="360"/>
      </w:pPr>
      <w:rPr>
        <w:rFonts w:ascii="Times New Roman" w:hAnsi="Times New Roman" w:cs="Times New Roman" w:hint="default"/>
      </w:rPr>
    </w:lvl>
    <w:lvl w:ilvl="8" w:tplc="040C0005" w:tentative="1">
      <w:start w:val="1"/>
      <w:numFmt w:val="bullet"/>
      <w:lvlText w:val=""/>
      <w:lvlJc w:val="left"/>
      <w:pPr>
        <w:ind w:left="6829" w:hanging="360"/>
      </w:pPr>
      <w:rPr>
        <w:rFonts w:ascii="Wingdings" w:hAnsi="Wingdings" w:hint="default" w:cs="Times New Roman"/>
      </w:rPr>
    </w:lvl>
  </w:abstractNum>
  <w:abstractNum w:abstractNumId="28" w15:restartNumberingAfterBreak="0">
    <w:nsid w:val="51E91E04"/>
    <w:multiLevelType w:val="hybridMultilevel"/>
    <w:tmpl w:val="4F12D44A"/>
    <w:lvl w:ilvl="0" w:tplc="9254075C">
      <w:numFmt w:val="bullet"/>
      <w:lvlText w:val="-"/>
      <w:lvlJc w:val="left"/>
      <w:pPr>
        <w:ind w:left="510" w:hanging="360"/>
      </w:pPr>
      <w:rPr>
        <w:rFonts w:ascii="Times New Roman" w:eastAsia="Times New Roman" w:hAnsi="Times New Roman" w:cs="Times New Roman" w:hint="default"/>
        <w:color w:val="auto"/>
      </w:rPr>
    </w:lvl>
    <w:lvl w:ilvl="1" w:tplc="040C0003" w:tentative="1">
      <w:start w:val="1"/>
      <w:numFmt w:val="bullet"/>
      <w:lvlText w:val="o"/>
      <w:lvlJc w:val="left"/>
      <w:pPr>
        <w:ind w:left="1230" w:hanging="360"/>
      </w:pPr>
      <w:rPr>
        <w:rFonts w:ascii="Times New Roman" w:hAnsi="Times New Roman" w:cs="Times New Roman" w:hint="default"/>
      </w:rPr>
    </w:lvl>
    <w:lvl w:ilvl="2" w:tplc="040C0005" w:tentative="1">
      <w:start w:val="1"/>
      <w:numFmt w:val="bullet"/>
      <w:lvlText w:val=""/>
      <w:lvlJc w:val="left"/>
      <w:pPr>
        <w:ind w:left="1950" w:hanging="360"/>
      </w:pPr>
      <w:rPr>
        <w:rFonts w:ascii="Wingdings" w:hAnsi="Wingdings" w:hint="default" w:cs="Times New Roman"/>
      </w:rPr>
    </w:lvl>
    <w:lvl w:ilvl="3" w:tplc="040C0001" w:tentative="1">
      <w:start w:val="1"/>
      <w:numFmt w:val="bullet"/>
      <w:lvlText w:val=""/>
      <w:lvlJc w:val="left"/>
      <w:pPr>
        <w:ind w:left="2670" w:hanging="360"/>
      </w:pPr>
      <w:rPr>
        <w:rFonts w:ascii="Symbol" w:hAnsi="Symbol" w:hint="default" w:cs="Times New Roman"/>
      </w:rPr>
    </w:lvl>
    <w:lvl w:ilvl="4" w:tplc="040C0003" w:tentative="1">
      <w:start w:val="1"/>
      <w:numFmt w:val="bullet"/>
      <w:lvlText w:val="o"/>
      <w:lvlJc w:val="left"/>
      <w:pPr>
        <w:ind w:left="3390" w:hanging="360"/>
      </w:pPr>
      <w:rPr>
        <w:rFonts w:ascii="Times New Roman" w:hAnsi="Times New Roman" w:cs="Times New Roman" w:hint="default"/>
      </w:rPr>
    </w:lvl>
    <w:lvl w:ilvl="5" w:tplc="040C0005" w:tentative="1">
      <w:start w:val="1"/>
      <w:numFmt w:val="bullet"/>
      <w:lvlText w:val=""/>
      <w:lvlJc w:val="left"/>
      <w:pPr>
        <w:ind w:left="4110" w:hanging="360"/>
      </w:pPr>
      <w:rPr>
        <w:rFonts w:ascii="Wingdings" w:hAnsi="Wingdings" w:hint="default" w:cs="Times New Roman"/>
      </w:rPr>
    </w:lvl>
    <w:lvl w:ilvl="6" w:tplc="040C0001" w:tentative="1">
      <w:start w:val="1"/>
      <w:numFmt w:val="bullet"/>
      <w:lvlText w:val=""/>
      <w:lvlJc w:val="left"/>
      <w:pPr>
        <w:ind w:left="4830" w:hanging="360"/>
      </w:pPr>
      <w:rPr>
        <w:rFonts w:ascii="Symbol" w:hAnsi="Symbol" w:hint="default" w:cs="Times New Roman"/>
      </w:rPr>
    </w:lvl>
    <w:lvl w:ilvl="7" w:tplc="040C0003" w:tentative="1">
      <w:start w:val="1"/>
      <w:numFmt w:val="bullet"/>
      <w:lvlText w:val="o"/>
      <w:lvlJc w:val="left"/>
      <w:pPr>
        <w:ind w:left="5550" w:hanging="360"/>
      </w:pPr>
      <w:rPr>
        <w:rFonts w:ascii="Times New Roman" w:hAnsi="Times New Roman" w:cs="Times New Roman" w:hint="default"/>
      </w:rPr>
    </w:lvl>
    <w:lvl w:ilvl="8" w:tplc="040C0005" w:tentative="1">
      <w:start w:val="1"/>
      <w:numFmt w:val="bullet"/>
      <w:lvlText w:val=""/>
      <w:lvlJc w:val="left"/>
      <w:pPr>
        <w:ind w:left="6270" w:hanging="360"/>
      </w:pPr>
      <w:rPr>
        <w:rFonts w:ascii="Wingdings" w:hAnsi="Wingdings" w:hint="default" w:cs="Times New Roman"/>
      </w:rPr>
    </w:lvl>
  </w:abstractNum>
  <w:abstractNum w:abstractNumId="29" w15:restartNumberingAfterBreak="0">
    <w:nsid w:val="53B2255D"/>
    <w:multiLevelType w:val="hybridMultilevel"/>
    <w:tmpl w:val="0FEAFE9C"/>
    <w:lvl w:ilvl="0" w:tplc="040C000B">
      <w:start w:val="1"/>
      <w:numFmt w:val="bullet"/>
      <w:lvlText w:val=""/>
      <w:lvlJc w:val="left"/>
      <w:pPr>
        <w:ind w:left="720" w:hanging="360"/>
      </w:pPr>
      <w:rPr>
        <w:rFonts w:ascii="Wingdings" w:hAnsi="Wingdings" w:hint="default" w:cs="Times New Roman"/>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30" w15:restartNumberingAfterBreak="0">
    <w:nsid w:val="5B6163F5"/>
    <w:multiLevelType w:val="hybridMultilevel"/>
    <w:tmpl w:val="19C4DB0E"/>
    <w:lvl w:ilvl="0" w:tplc="040C0001">
      <w:start w:val="1"/>
      <w:numFmt w:val="bullet"/>
      <w:lvlText w:val=""/>
      <w:lvlJc w:val="left"/>
      <w:pPr>
        <w:ind w:left="720" w:hanging="360"/>
      </w:pPr>
      <w:rPr>
        <w:rFonts w:ascii="Symbol" w:hAnsi="Symbol" w:hint="default" w:cs="Times New Roman"/>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31" w15:restartNumberingAfterBreak="0">
    <w:nsid w:val="5E82595B"/>
    <w:multiLevelType w:val="hybridMultilevel"/>
    <w:tmpl w:val="CAA47754"/>
    <w:lvl w:ilvl="0" w:tplc="3D4635F8">
      <w:start w:val="20"/>
      <w:numFmt w:val="decimal"/>
      <w:lvlText w:val="%1"/>
      <w:lvlJc w:val="left"/>
      <w:pPr>
        <w:ind w:left="720" w:hanging="360"/>
      </w:pPr>
      <w:rPr>
        <w:rFonts w:hint="default" w:ascii="Times New Roman" w:hAnsi="Times New Roman" w:cs="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623C530B"/>
    <w:multiLevelType w:val="hybridMultilevel"/>
    <w:tmpl w:val="3CB431A6"/>
    <w:lvl w:ilvl="0" w:tplc="F312AB54">
      <w:start w:val="1"/>
      <w:numFmt w:val="decimal"/>
      <w:lvlText w:val="%1-"/>
      <w:lvlJc w:val="left"/>
      <w:pPr>
        <w:ind w:left="720" w:hanging="360"/>
      </w:pPr>
      <w:rPr>
        <w:rFonts w:hint="default" w:ascii="Times New Roman" w:hAnsi="Times New Roman" w:cs="Times New Roman"/>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63C07FBE"/>
    <w:multiLevelType w:val="hybridMultilevel"/>
    <w:tmpl w:val="D05A9952"/>
    <w:lvl w:ilvl="0" w:tplc="040C0001">
      <w:start w:val="1"/>
      <w:numFmt w:val="bullet"/>
      <w:lvlText w:val=""/>
      <w:lvlJc w:val="left"/>
      <w:pPr>
        <w:ind w:left="720" w:hanging="360"/>
      </w:pPr>
      <w:rPr>
        <w:rFonts w:ascii="Symbol" w:hAnsi="Symbol" w:hint="default" w:cs="Times New Roman"/>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34" w15:restartNumberingAfterBreak="0">
    <w:nsid w:val="697046B2"/>
    <w:multiLevelType w:val="hybridMultilevel"/>
    <w:tmpl w:val="AFA27E90"/>
    <w:lvl w:ilvl="0" w:tplc="040C000D">
      <w:start w:val="1"/>
      <w:numFmt w:val="bullet"/>
      <w:lvlText w:val=""/>
      <w:lvlJc w:val="left"/>
      <w:pPr>
        <w:ind w:left="720" w:hanging="360"/>
      </w:pPr>
      <w:rPr>
        <w:rFonts w:ascii="Wingdings" w:hAnsi="Wingdings" w:hint="default" w:cs="Times New Roman"/>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35" w15:restartNumberingAfterBreak="0">
    <w:nsid w:val="707C06B5"/>
    <w:multiLevelType w:val="hybridMultilevel"/>
    <w:tmpl w:val="A0CE928C"/>
    <w:lvl w:ilvl="0" w:tplc="040C0009">
      <w:start w:val="1"/>
      <w:numFmt w:val="bullet"/>
      <w:lvlText w:val=""/>
      <w:lvlJc w:val="left"/>
      <w:pPr>
        <w:ind w:left="720" w:hanging="360"/>
      </w:pPr>
      <w:rPr>
        <w:rFonts w:ascii="Wingdings" w:hAnsi="Wingdings" w:hint="default" w:cs="Times New Roman"/>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36" w15:restartNumberingAfterBreak="0">
    <w:nsid w:val="711B7000"/>
    <w:multiLevelType w:val="hybridMultilevel"/>
    <w:tmpl w:val="E3D4F3D0"/>
    <w:lvl w:ilvl="0" w:tplc="040C0003">
      <w:start w:val="1"/>
      <w:numFmt w:val="bullet"/>
      <w:lvlText w:val="o"/>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37" w15:restartNumberingAfterBreak="0">
    <w:nsid w:val="727D6CD0"/>
    <w:multiLevelType w:val="multilevel"/>
    <w:tmpl w:val="B4CC724C"/>
    <w:lvl w:ilvl="0">
      <w:start w:val="1"/>
      <w:numFmt w:val="decimal"/>
      <w:suff w:val="space"/>
      <w:lvlText w:val="ARTICLE %1 -"/>
      <w:lvlJc w:val="left"/>
      <w:pPr>
        <w:ind w:left="1418" w:firstLine="0"/>
      </w:pPr>
      <w:rPr>
        <w:rFonts w:ascii="Times New Roman" w:hAnsi="Times New Roman" w:hint="default" w:cs="Times New Roman"/>
        <w:b/>
        <w:i w:val="0"/>
        <w:caps/>
        <w:sz w:val="28"/>
      </w:rPr>
    </w:lvl>
    <w:lvl w:ilvl="1">
      <w:start w:val="1"/>
      <w:numFmt w:val="decimal"/>
      <w:suff w:val="space"/>
      <w:lvlText w:val="%1. %2 - "/>
      <w:lvlJc w:val="left"/>
      <w:pPr>
        <w:ind w:left="2127" w:firstLine="0"/>
      </w:pPr>
      <w:rPr>
        <w:rFonts w:ascii="Times New Roman" w:hAnsi="Times New Roman" w:hint="default" w:cs="Times New Roman"/>
        <w:b/>
        <w:i w:val="0"/>
        <w:sz w:val="22"/>
      </w:rPr>
    </w:lvl>
    <w:lvl w:ilvl="2">
      <w:start w:val="1"/>
      <w:numFmt w:val="decimal"/>
      <w:suff w:val="space"/>
      <w:lvlText w:val="%1. %2. %3 - "/>
      <w:lvlJc w:val="left"/>
      <w:pPr>
        <w:ind w:left="425" w:firstLine="0"/>
      </w:pPr>
      <w:rPr>
        <w:rFonts w:ascii="Times New Roman" w:hAnsi="Times New Roman" w:hint="default" w:cs="Times New Roman"/>
        <w:b w:val="0"/>
        <w:bCs w:val="0"/>
        <w:i w:val="0"/>
        <w:iCs w:val="0"/>
        <w:caps w:val="0"/>
        <w:strike w:val="0"/>
        <w:dstrike w:val="0"/>
        <w:snapToGrid w:val="0"/>
        <w:vanish w:val="0"/>
        <w:color w:val="000000"/>
        <w:spacing w:val="0"/>
        <w:kern w:val="0"/>
        <w:position w:val="0"/>
        <w:sz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3">
      <w:start w:val="1"/>
      <w:numFmt w:val="decimal"/>
      <w:lvlText w:val="(%4)"/>
      <w:lvlJc w:val="left"/>
      <w:pPr>
        <w:ind w:left="1723" w:hanging="360"/>
      </w:pPr>
      <w:rPr>
        <w:rFonts w:hint="default" w:ascii="Times New Roman" w:hAnsi="Times New Roman" w:cs="Times New Roman"/>
      </w:rPr>
    </w:lvl>
    <w:lvl w:ilvl="4">
      <w:start w:val="1"/>
      <w:numFmt w:val="lowerLetter"/>
      <w:lvlText w:val="(%5)"/>
      <w:lvlJc w:val="left"/>
      <w:pPr>
        <w:ind w:left="2083" w:hanging="360"/>
      </w:pPr>
      <w:rPr>
        <w:rFonts w:hint="default" w:ascii="Times New Roman" w:hAnsi="Times New Roman" w:cs="Times New Roman"/>
      </w:rPr>
    </w:lvl>
    <w:lvl w:ilvl="5">
      <w:start w:val="1"/>
      <w:numFmt w:val="lowerRoman"/>
      <w:lvlText w:val="(%6)"/>
      <w:lvlJc w:val="left"/>
      <w:pPr>
        <w:ind w:left="2443" w:hanging="360"/>
      </w:pPr>
      <w:rPr>
        <w:rFonts w:hint="default" w:ascii="Times New Roman" w:hAnsi="Times New Roman" w:cs="Times New Roman"/>
      </w:rPr>
    </w:lvl>
    <w:lvl w:ilvl="6">
      <w:start w:val="1"/>
      <w:numFmt w:val="decimal"/>
      <w:lvlText w:val="%7."/>
      <w:lvlJc w:val="left"/>
      <w:pPr>
        <w:ind w:left="2803" w:hanging="360"/>
      </w:pPr>
      <w:rPr>
        <w:rFonts w:hint="default" w:ascii="Times New Roman" w:hAnsi="Times New Roman" w:cs="Times New Roman"/>
      </w:rPr>
    </w:lvl>
    <w:lvl w:ilvl="7">
      <w:start w:val="1"/>
      <w:numFmt w:val="lowerLetter"/>
      <w:lvlText w:val="%8."/>
      <w:lvlJc w:val="left"/>
      <w:pPr>
        <w:ind w:left="3163" w:hanging="360"/>
      </w:pPr>
      <w:rPr>
        <w:rFonts w:hint="default" w:ascii="Times New Roman" w:hAnsi="Times New Roman" w:cs="Times New Roman"/>
      </w:rPr>
    </w:lvl>
    <w:lvl w:ilvl="8">
      <w:start w:val="1"/>
      <w:numFmt w:val="lowerRoman"/>
      <w:lvlText w:val="%9."/>
      <w:lvlJc w:val="left"/>
      <w:pPr>
        <w:ind w:left="3523" w:hanging="360"/>
      </w:pPr>
      <w:rPr>
        <w:rFonts w:hint="default" w:ascii="Times New Roman" w:hAnsi="Times New Roman" w:cs="Times New Roman"/>
      </w:rPr>
    </w:lvl>
  </w:abstractNum>
  <w:abstractNum w:abstractNumId="38" w15:restartNumberingAfterBreak="0">
    <w:nsid w:val="734975D6"/>
    <w:multiLevelType w:val="hybridMultilevel"/>
    <w:tmpl w:val="CC9E6BAA"/>
    <w:lvl w:ilvl="0" w:tplc="040C0001">
      <w:start w:val="1"/>
      <w:numFmt w:val="bullet"/>
      <w:lvlText w:val=""/>
      <w:lvlJc w:val="left"/>
      <w:pPr>
        <w:ind w:left="720" w:hanging="360"/>
      </w:pPr>
      <w:rPr>
        <w:rFonts w:ascii="Symbol" w:hAnsi="Symbol" w:hint="default" w:cs="Times New Roman"/>
      </w:rPr>
    </w:lvl>
    <w:lvl w:ilvl="1" w:tplc="040C0003" w:tentative="1">
      <w:start w:val="1"/>
      <w:numFmt w:val="bullet"/>
      <w:lvlText w:val="o"/>
      <w:lvlJc w:val="left"/>
      <w:pPr>
        <w:ind w:left="1440" w:hanging="360"/>
      </w:pPr>
      <w:rPr>
        <w:rFonts w:ascii="Times New Roman" w:hAnsi="Times New Roman" w:cs="Times New Roman" w:hint="default"/>
      </w:rPr>
    </w:lvl>
    <w:lvl w:ilvl="2" w:tplc="040C0005" w:tentative="1">
      <w:start w:val="1"/>
      <w:numFmt w:val="bullet"/>
      <w:lvlText w:val=""/>
      <w:lvlJc w:val="left"/>
      <w:pPr>
        <w:ind w:left="2160" w:hanging="360"/>
      </w:pPr>
      <w:rPr>
        <w:rFonts w:ascii="Wingdings" w:hAnsi="Wingdings" w:hint="default" w:cs="Times New Roman"/>
      </w:rPr>
    </w:lvl>
    <w:lvl w:ilvl="3" w:tplc="040C0001" w:tentative="1">
      <w:start w:val="1"/>
      <w:numFmt w:val="bullet"/>
      <w:lvlText w:val=""/>
      <w:lvlJc w:val="left"/>
      <w:pPr>
        <w:ind w:left="2880" w:hanging="360"/>
      </w:pPr>
      <w:rPr>
        <w:rFonts w:ascii="Symbol" w:hAnsi="Symbol" w:hint="default" w:cs="Times New Roman"/>
      </w:rPr>
    </w:lvl>
    <w:lvl w:ilvl="4" w:tplc="040C0003" w:tentative="1">
      <w:start w:val="1"/>
      <w:numFmt w:val="bullet"/>
      <w:lvlText w:val="o"/>
      <w:lvlJc w:val="left"/>
      <w:pPr>
        <w:ind w:left="3600" w:hanging="360"/>
      </w:pPr>
      <w:rPr>
        <w:rFonts w:ascii="Times New Roman" w:hAnsi="Times New Roman" w:cs="Times New Roman" w:hint="default"/>
      </w:rPr>
    </w:lvl>
    <w:lvl w:ilvl="5" w:tplc="040C0005" w:tentative="1">
      <w:start w:val="1"/>
      <w:numFmt w:val="bullet"/>
      <w:lvlText w:val=""/>
      <w:lvlJc w:val="left"/>
      <w:pPr>
        <w:ind w:left="4320" w:hanging="360"/>
      </w:pPr>
      <w:rPr>
        <w:rFonts w:ascii="Wingdings" w:hAnsi="Wingdings" w:hint="default" w:cs="Times New Roman"/>
      </w:rPr>
    </w:lvl>
    <w:lvl w:ilvl="6" w:tplc="040C0001" w:tentative="1">
      <w:start w:val="1"/>
      <w:numFmt w:val="bullet"/>
      <w:lvlText w:val=""/>
      <w:lvlJc w:val="left"/>
      <w:pPr>
        <w:ind w:left="5040" w:hanging="360"/>
      </w:pPr>
      <w:rPr>
        <w:rFonts w:ascii="Symbol" w:hAnsi="Symbol" w:hint="default" w:cs="Times New Roman"/>
      </w:rPr>
    </w:lvl>
    <w:lvl w:ilvl="7" w:tplc="040C0003" w:tentative="1">
      <w:start w:val="1"/>
      <w:numFmt w:val="bullet"/>
      <w:lvlText w:val="o"/>
      <w:lvlJc w:val="left"/>
      <w:pPr>
        <w:ind w:left="5760" w:hanging="360"/>
      </w:pPr>
      <w:rPr>
        <w:rFonts w:ascii="Times New Roman" w:hAnsi="Times New Roman" w:cs="Times New Roman" w:hint="default"/>
      </w:rPr>
    </w:lvl>
    <w:lvl w:ilvl="8" w:tplc="040C0005" w:tentative="1">
      <w:start w:val="1"/>
      <w:numFmt w:val="bullet"/>
      <w:lvlText w:val=""/>
      <w:lvlJc w:val="left"/>
      <w:pPr>
        <w:ind w:left="6480" w:hanging="360"/>
      </w:pPr>
      <w:rPr>
        <w:rFonts w:ascii="Wingdings" w:hAnsi="Wingdings" w:hint="default" w:cs="Times New Roman"/>
      </w:rPr>
    </w:lvl>
  </w:abstractNum>
  <w:abstractNum w:abstractNumId="39" w15:restartNumberingAfterBreak="0">
    <w:nsid w:val="73803ED0"/>
    <w:multiLevelType w:val="multilevel"/>
    <w:tmpl w:val="51720CF2"/>
    <w:lvl w:ilvl="0">
      <w:start w:val="1"/>
      <w:numFmt w:val="decimal"/>
      <w:pStyle w:val="ARTICLE"/>
      <w:suff w:val="space"/>
      <w:lvlText w:val="ARTICLE %1 -"/>
      <w:lvlJc w:val="left"/>
      <w:pPr>
        <w:ind w:left="0" w:firstLine="0"/>
      </w:pPr>
      <w:rPr>
        <w:rFonts w:hint="default" w:ascii="Times New Roman" w:hAnsi="Times New Roman" w:cs="Times New Roman"/>
      </w:rPr>
    </w:lvl>
    <w:lvl w:ilvl="1">
      <w:start w:val="1"/>
      <w:numFmt w:val="decimal"/>
      <w:pStyle w:val="sousarticle"/>
      <w:suff w:val="space"/>
      <w:lvlText w:val="%1. %2 - "/>
      <w:lvlJc w:val="left"/>
      <w:pPr>
        <w:ind w:left="284" w:firstLine="0"/>
      </w:pPr>
      <w:rPr>
        <w:rFonts w:hint="default" w:ascii="Times New Roman" w:hAnsi="Times New Roman" w:cs="Times New Roman"/>
        <w:b/>
      </w:rPr>
    </w:lvl>
    <w:lvl w:ilvl="2">
      <w:start w:val="1"/>
      <w:numFmt w:val="decimal"/>
      <w:pStyle w:val="soustitre"/>
      <w:suff w:val="space"/>
      <w:lvlText w:val="%1. %2. %3 - "/>
      <w:lvlJc w:val="left"/>
      <w:pPr>
        <w:ind w:left="0" w:firstLine="0"/>
      </w:pPr>
      <w:rPr>
        <w:rFonts w:hint="default" w:ascii="Times New Roman" w:hAnsi="Times New Roman" w:cs="Times New Roman"/>
        <w:b w:val="0"/>
        <w:bCs w:val="0"/>
        <w:i w:val="0"/>
        <w:iCs w:val="0"/>
        <w:caps w:val="0"/>
        <w:smallCaps w:val="0"/>
        <w:strike w:val="0"/>
        <w:dstrike w:val="0"/>
        <w:snapToGrid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3">
      <w:start w:val="1"/>
      <w:numFmt w:val="decimal"/>
      <w:lvlText w:val="(%4)"/>
      <w:lvlJc w:val="left"/>
      <w:pPr>
        <w:ind w:left="1440" w:hanging="360"/>
      </w:pPr>
      <w:rPr>
        <w:rFonts w:hint="default" w:ascii="Times New Roman" w:hAnsi="Times New Roman" w:cs="Times New Roman"/>
      </w:rPr>
    </w:lvl>
    <w:lvl w:ilvl="4">
      <w:start w:val="1"/>
      <w:numFmt w:val="lowerLetter"/>
      <w:lvlText w:val="(%5)"/>
      <w:lvlJc w:val="left"/>
      <w:pPr>
        <w:ind w:left="1800" w:hanging="360"/>
      </w:pPr>
      <w:rPr>
        <w:rFonts w:hint="default" w:ascii="Times New Roman" w:hAnsi="Times New Roman" w:cs="Times New Roman"/>
      </w:rPr>
    </w:lvl>
    <w:lvl w:ilvl="5">
      <w:start w:val="1"/>
      <w:numFmt w:val="lowerRoman"/>
      <w:lvlText w:val="(%6)"/>
      <w:lvlJc w:val="left"/>
      <w:pPr>
        <w:ind w:left="2160" w:hanging="360"/>
      </w:pPr>
      <w:rPr>
        <w:rFonts w:hint="default" w:ascii="Times New Roman" w:hAnsi="Times New Roman" w:cs="Times New Roman"/>
      </w:rPr>
    </w:lvl>
    <w:lvl w:ilvl="6">
      <w:start w:val="1"/>
      <w:numFmt w:val="decimal"/>
      <w:lvlText w:val="%7."/>
      <w:lvlJc w:val="left"/>
      <w:pPr>
        <w:ind w:left="2520" w:hanging="360"/>
      </w:pPr>
      <w:rPr>
        <w:rFonts w:hint="default" w:ascii="Times New Roman" w:hAnsi="Times New Roman" w:cs="Times New Roman"/>
      </w:rPr>
    </w:lvl>
    <w:lvl w:ilvl="7">
      <w:start w:val="1"/>
      <w:numFmt w:val="lowerLetter"/>
      <w:lvlText w:val="%8."/>
      <w:lvlJc w:val="left"/>
      <w:pPr>
        <w:ind w:left="2880" w:hanging="360"/>
      </w:pPr>
      <w:rPr>
        <w:rFonts w:hint="default" w:ascii="Times New Roman" w:hAnsi="Times New Roman" w:cs="Times New Roman"/>
      </w:rPr>
    </w:lvl>
    <w:lvl w:ilvl="8">
      <w:start w:val="1"/>
      <w:numFmt w:val="lowerRoman"/>
      <w:lvlText w:val="%9."/>
      <w:lvlJc w:val="left"/>
      <w:pPr>
        <w:ind w:left="3240" w:hanging="360"/>
      </w:pPr>
      <w:rPr>
        <w:rFonts w:hint="default" w:ascii="Times New Roman" w:hAnsi="Times New Roman" w:cs="Times New Roman"/>
      </w:rPr>
    </w:lvl>
  </w:abstractNum>
  <w:abstractNum w:abstractNumId="40" w15:restartNumberingAfterBreak="0">
    <w:nsid w:val="77084F34"/>
    <w:multiLevelType w:val="hybridMultilevel"/>
    <w:tmpl w:val="6546951C"/>
    <w:lvl w:ilvl="0" w:tplc="9254075C">
      <w:numFmt w:val="bullet"/>
      <w:lvlText w:val="-"/>
      <w:lvlJc w:val="left"/>
      <w:pPr>
        <w:ind w:left="436" w:hanging="360"/>
      </w:pPr>
      <w:rPr>
        <w:rFonts w:ascii="Times New Roman" w:eastAsia="Times New Roman" w:hAnsi="Times New Roman" w:cs="Times New Roman" w:hint="default"/>
        <w:color w:val="auto"/>
      </w:rPr>
    </w:lvl>
    <w:lvl w:ilvl="1" w:tplc="040C0003" w:tentative="1">
      <w:start w:val="1"/>
      <w:numFmt w:val="bullet"/>
      <w:lvlText w:val="o"/>
      <w:lvlJc w:val="left"/>
      <w:pPr>
        <w:ind w:left="1156" w:hanging="360"/>
      </w:pPr>
      <w:rPr>
        <w:rFonts w:ascii="Times New Roman" w:hAnsi="Times New Roman" w:cs="Times New Roman" w:hint="default"/>
      </w:rPr>
    </w:lvl>
    <w:lvl w:ilvl="2" w:tplc="040C0005" w:tentative="1">
      <w:start w:val="1"/>
      <w:numFmt w:val="bullet"/>
      <w:lvlText w:val=""/>
      <w:lvlJc w:val="left"/>
      <w:pPr>
        <w:ind w:left="1876" w:hanging="360"/>
      </w:pPr>
      <w:rPr>
        <w:rFonts w:ascii="Wingdings" w:hAnsi="Wingdings" w:hint="default" w:cs="Times New Roman"/>
      </w:rPr>
    </w:lvl>
    <w:lvl w:ilvl="3" w:tplc="040C0001" w:tentative="1">
      <w:start w:val="1"/>
      <w:numFmt w:val="bullet"/>
      <w:lvlText w:val=""/>
      <w:lvlJc w:val="left"/>
      <w:pPr>
        <w:ind w:left="2596" w:hanging="360"/>
      </w:pPr>
      <w:rPr>
        <w:rFonts w:ascii="Symbol" w:hAnsi="Symbol" w:hint="default" w:cs="Times New Roman"/>
      </w:rPr>
    </w:lvl>
    <w:lvl w:ilvl="4" w:tplc="040C0003" w:tentative="1">
      <w:start w:val="1"/>
      <w:numFmt w:val="bullet"/>
      <w:lvlText w:val="o"/>
      <w:lvlJc w:val="left"/>
      <w:pPr>
        <w:ind w:left="3316" w:hanging="360"/>
      </w:pPr>
      <w:rPr>
        <w:rFonts w:ascii="Times New Roman" w:hAnsi="Times New Roman" w:cs="Times New Roman" w:hint="default"/>
      </w:rPr>
    </w:lvl>
    <w:lvl w:ilvl="5" w:tplc="040C0005" w:tentative="1">
      <w:start w:val="1"/>
      <w:numFmt w:val="bullet"/>
      <w:lvlText w:val=""/>
      <w:lvlJc w:val="left"/>
      <w:pPr>
        <w:ind w:left="4036" w:hanging="360"/>
      </w:pPr>
      <w:rPr>
        <w:rFonts w:ascii="Wingdings" w:hAnsi="Wingdings" w:hint="default" w:cs="Times New Roman"/>
      </w:rPr>
    </w:lvl>
    <w:lvl w:ilvl="6" w:tplc="040C0001" w:tentative="1">
      <w:start w:val="1"/>
      <w:numFmt w:val="bullet"/>
      <w:lvlText w:val=""/>
      <w:lvlJc w:val="left"/>
      <w:pPr>
        <w:ind w:left="4756" w:hanging="360"/>
      </w:pPr>
      <w:rPr>
        <w:rFonts w:ascii="Symbol" w:hAnsi="Symbol" w:hint="default" w:cs="Times New Roman"/>
      </w:rPr>
    </w:lvl>
    <w:lvl w:ilvl="7" w:tplc="040C0003" w:tentative="1">
      <w:start w:val="1"/>
      <w:numFmt w:val="bullet"/>
      <w:lvlText w:val="o"/>
      <w:lvlJc w:val="left"/>
      <w:pPr>
        <w:ind w:left="5476" w:hanging="360"/>
      </w:pPr>
      <w:rPr>
        <w:rFonts w:ascii="Times New Roman" w:hAnsi="Times New Roman" w:cs="Times New Roman" w:hint="default"/>
      </w:rPr>
    </w:lvl>
    <w:lvl w:ilvl="8" w:tplc="040C0005" w:tentative="1">
      <w:start w:val="1"/>
      <w:numFmt w:val="bullet"/>
      <w:lvlText w:val=""/>
      <w:lvlJc w:val="left"/>
      <w:pPr>
        <w:ind w:left="6196" w:hanging="360"/>
      </w:pPr>
      <w:rPr>
        <w:rFonts w:ascii="Wingdings" w:hAnsi="Wingdings" w:hint="default" w:cs="Times New Roman"/>
      </w:rPr>
    </w:lvl>
  </w:abstractNum>
  <w:abstractNum w:abstractNumId="41" w15:restartNumberingAfterBreak="0">
    <w:nsid w:val="7A5B4653"/>
    <w:multiLevelType w:val="hybridMultilevel"/>
    <w:tmpl w:val="8F6A8268"/>
    <w:lvl w:ilvl="0" w:tplc="040C0003">
      <w:start w:val="1"/>
      <w:numFmt w:val="bullet"/>
      <w:lvlText w:val="o"/>
      <w:lvlJc w:val="left"/>
      <w:pPr>
        <w:ind w:left="153" w:hanging="360"/>
      </w:pPr>
      <w:rPr>
        <w:rFonts w:ascii="Times New Roman" w:hAnsi="Times New Roman" w:cs="Times New Roman" w:hint="default"/>
      </w:rPr>
    </w:lvl>
    <w:lvl w:ilvl="1" w:tplc="040C0003" w:tentative="1">
      <w:start w:val="1"/>
      <w:numFmt w:val="bullet"/>
      <w:lvlText w:val="o"/>
      <w:lvlJc w:val="left"/>
      <w:pPr>
        <w:ind w:left="873" w:hanging="360"/>
      </w:pPr>
      <w:rPr>
        <w:rFonts w:ascii="Times New Roman" w:hAnsi="Times New Roman" w:cs="Times New Roman" w:hint="default"/>
      </w:rPr>
    </w:lvl>
    <w:lvl w:ilvl="2" w:tplc="040C0005" w:tentative="1">
      <w:start w:val="1"/>
      <w:numFmt w:val="bullet"/>
      <w:lvlText w:val=""/>
      <w:lvlJc w:val="left"/>
      <w:pPr>
        <w:ind w:left="1593" w:hanging="360"/>
      </w:pPr>
      <w:rPr>
        <w:rFonts w:ascii="Wingdings" w:hAnsi="Wingdings" w:hint="default" w:cs="Times New Roman"/>
      </w:rPr>
    </w:lvl>
    <w:lvl w:ilvl="3" w:tplc="040C0001" w:tentative="1">
      <w:start w:val="1"/>
      <w:numFmt w:val="bullet"/>
      <w:lvlText w:val=""/>
      <w:lvlJc w:val="left"/>
      <w:pPr>
        <w:ind w:left="2313" w:hanging="360"/>
      </w:pPr>
      <w:rPr>
        <w:rFonts w:ascii="Symbol" w:hAnsi="Symbol" w:hint="default" w:cs="Times New Roman"/>
      </w:rPr>
    </w:lvl>
    <w:lvl w:ilvl="4" w:tplc="040C0003" w:tentative="1">
      <w:start w:val="1"/>
      <w:numFmt w:val="bullet"/>
      <w:lvlText w:val="o"/>
      <w:lvlJc w:val="left"/>
      <w:pPr>
        <w:ind w:left="3033" w:hanging="360"/>
      </w:pPr>
      <w:rPr>
        <w:rFonts w:ascii="Times New Roman" w:hAnsi="Times New Roman" w:cs="Times New Roman" w:hint="default"/>
      </w:rPr>
    </w:lvl>
    <w:lvl w:ilvl="5" w:tplc="040C0005" w:tentative="1">
      <w:start w:val="1"/>
      <w:numFmt w:val="bullet"/>
      <w:lvlText w:val=""/>
      <w:lvlJc w:val="left"/>
      <w:pPr>
        <w:ind w:left="3753" w:hanging="360"/>
      </w:pPr>
      <w:rPr>
        <w:rFonts w:ascii="Wingdings" w:hAnsi="Wingdings" w:hint="default" w:cs="Times New Roman"/>
      </w:rPr>
    </w:lvl>
    <w:lvl w:ilvl="6" w:tplc="040C0001" w:tentative="1">
      <w:start w:val="1"/>
      <w:numFmt w:val="bullet"/>
      <w:lvlText w:val=""/>
      <w:lvlJc w:val="left"/>
      <w:pPr>
        <w:ind w:left="4473" w:hanging="360"/>
      </w:pPr>
      <w:rPr>
        <w:rFonts w:ascii="Symbol" w:hAnsi="Symbol" w:hint="default" w:cs="Times New Roman"/>
      </w:rPr>
    </w:lvl>
    <w:lvl w:ilvl="7" w:tplc="040C0003" w:tentative="1">
      <w:start w:val="1"/>
      <w:numFmt w:val="bullet"/>
      <w:lvlText w:val="o"/>
      <w:lvlJc w:val="left"/>
      <w:pPr>
        <w:ind w:left="5193" w:hanging="360"/>
      </w:pPr>
      <w:rPr>
        <w:rFonts w:ascii="Times New Roman" w:hAnsi="Times New Roman" w:cs="Times New Roman" w:hint="default"/>
      </w:rPr>
    </w:lvl>
    <w:lvl w:ilvl="8" w:tplc="040C0005" w:tentative="1">
      <w:start w:val="1"/>
      <w:numFmt w:val="bullet"/>
      <w:lvlText w:val=""/>
      <w:lvlJc w:val="left"/>
      <w:pPr>
        <w:ind w:left="5913" w:hanging="360"/>
      </w:pPr>
      <w:rPr>
        <w:rFonts w:ascii="Wingdings" w:hAnsi="Wingdings" w:hint="default" w:cs="Times New Roman"/>
      </w:rPr>
    </w:lvl>
  </w:abstractNum>
  <w:abstractNum w:abstractNumId="42" w15:restartNumberingAfterBreak="0">
    <w:nsid w:val="7AB12C48"/>
    <w:multiLevelType w:val="hybridMultilevel"/>
    <w:tmpl w:val="1C5A2676"/>
    <w:lvl w:ilvl="0" w:tplc="040C0001">
      <w:start w:val="1"/>
      <w:numFmt w:val="bullet"/>
      <w:lvlText w:val=""/>
      <w:lvlJc w:val="left"/>
      <w:pPr>
        <w:ind w:left="153" w:hanging="360"/>
      </w:pPr>
      <w:rPr>
        <w:rFonts w:ascii="Symbol" w:hAnsi="Symbol" w:hint="default" w:cs="Times New Roman"/>
      </w:rPr>
    </w:lvl>
    <w:lvl w:ilvl="1" w:tplc="040C0003" w:tentative="1">
      <w:start w:val="1"/>
      <w:numFmt w:val="bullet"/>
      <w:lvlText w:val="o"/>
      <w:lvlJc w:val="left"/>
      <w:pPr>
        <w:ind w:left="873" w:hanging="360"/>
      </w:pPr>
      <w:rPr>
        <w:rFonts w:ascii="Times New Roman" w:hAnsi="Times New Roman" w:cs="Times New Roman" w:hint="default"/>
      </w:rPr>
    </w:lvl>
    <w:lvl w:ilvl="2" w:tplc="040C0005" w:tentative="1">
      <w:start w:val="1"/>
      <w:numFmt w:val="bullet"/>
      <w:lvlText w:val=""/>
      <w:lvlJc w:val="left"/>
      <w:pPr>
        <w:ind w:left="1593" w:hanging="360"/>
      </w:pPr>
      <w:rPr>
        <w:rFonts w:ascii="Wingdings" w:hAnsi="Wingdings" w:hint="default" w:cs="Times New Roman"/>
      </w:rPr>
    </w:lvl>
    <w:lvl w:ilvl="3" w:tplc="040C0001" w:tentative="1">
      <w:start w:val="1"/>
      <w:numFmt w:val="bullet"/>
      <w:lvlText w:val=""/>
      <w:lvlJc w:val="left"/>
      <w:pPr>
        <w:ind w:left="2313" w:hanging="360"/>
      </w:pPr>
      <w:rPr>
        <w:rFonts w:ascii="Symbol" w:hAnsi="Symbol" w:hint="default" w:cs="Times New Roman"/>
      </w:rPr>
    </w:lvl>
    <w:lvl w:ilvl="4" w:tplc="040C0003" w:tentative="1">
      <w:start w:val="1"/>
      <w:numFmt w:val="bullet"/>
      <w:lvlText w:val="o"/>
      <w:lvlJc w:val="left"/>
      <w:pPr>
        <w:ind w:left="3033" w:hanging="360"/>
      </w:pPr>
      <w:rPr>
        <w:rFonts w:ascii="Times New Roman" w:hAnsi="Times New Roman" w:cs="Times New Roman" w:hint="default"/>
      </w:rPr>
    </w:lvl>
    <w:lvl w:ilvl="5" w:tplc="040C0005" w:tentative="1">
      <w:start w:val="1"/>
      <w:numFmt w:val="bullet"/>
      <w:lvlText w:val=""/>
      <w:lvlJc w:val="left"/>
      <w:pPr>
        <w:ind w:left="3753" w:hanging="360"/>
      </w:pPr>
      <w:rPr>
        <w:rFonts w:ascii="Wingdings" w:hAnsi="Wingdings" w:hint="default" w:cs="Times New Roman"/>
      </w:rPr>
    </w:lvl>
    <w:lvl w:ilvl="6" w:tplc="040C0001" w:tentative="1">
      <w:start w:val="1"/>
      <w:numFmt w:val="bullet"/>
      <w:lvlText w:val=""/>
      <w:lvlJc w:val="left"/>
      <w:pPr>
        <w:ind w:left="4473" w:hanging="360"/>
      </w:pPr>
      <w:rPr>
        <w:rFonts w:ascii="Symbol" w:hAnsi="Symbol" w:hint="default" w:cs="Times New Roman"/>
      </w:rPr>
    </w:lvl>
    <w:lvl w:ilvl="7" w:tplc="040C0003" w:tentative="1">
      <w:start w:val="1"/>
      <w:numFmt w:val="bullet"/>
      <w:lvlText w:val="o"/>
      <w:lvlJc w:val="left"/>
      <w:pPr>
        <w:ind w:left="5193" w:hanging="360"/>
      </w:pPr>
      <w:rPr>
        <w:rFonts w:ascii="Times New Roman" w:hAnsi="Times New Roman" w:cs="Times New Roman" w:hint="default"/>
      </w:rPr>
    </w:lvl>
    <w:lvl w:ilvl="8" w:tplc="040C0005" w:tentative="1">
      <w:start w:val="1"/>
      <w:numFmt w:val="bullet"/>
      <w:lvlText w:val=""/>
      <w:lvlJc w:val="left"/>
      <w:pPr>
        <w:ind w:left="5913" w:hanging="360"/>
      </w:pPr>
      <w:rPr>
        <w:rFonts w:ascii="Wingdings" w:hAnsi="Wingdings" w:hint="default" w:cs="Times New Roman"/>
      </w:rPr>
    </w:lvl>
  </w:abstractNum>
  <w:abstractNum w:abstractNumId="43" w15:restartNumberingAfterBreak="0">
    <w:nsid w:val="7D310EBE"/>
    <w:multiLevelType w:val="multilevel"/>
    <w:tmpl w:val="9E8037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7"/>
  </w:num>
  <w:num w:numId="2">
    <w:abstractNumId w:val="43"/>
  </w:num>
  <w:num w:numId="3">
    <w:abstractNumId w:val="39"/>
  </w:num>
  <w:num w:numId="4">
    <w:abstractNumId w:val="12"/>
  </w:num>
  <w:num w:numId="5">
    <w:abstractNumId w:val="0"/>
  </w:num>
  <w:num w:numId="6">
    <w:abstractNumId w:val="5"/>
  </w:num>
  <w:num w:numId="7">
    <w:abstractNumId w:val="16"/>
  </w:num>
  <w:num w:numId="8">
    <w:abstractNumId w:val="35"/>
  </w:num>
  <w:num w:numId="9">
    <w:abstractNumId w:val="19"/>
  </w:num>
  <w:num w:numId="10">
    <w:abstractNumId w:val="42"/>
  </w:num>
  <w:num w:numId="11">
    <w:abstractNumId w:val="3"/>
  </w:num>
  <w:num w:numId="12">
    <w:abstractNumId w:val="9"/>
  </w:num>
  <w:num w:numId="13">
    <w:abstractNumId w:val="40"/>
  </w:num>
  <w:num w:numId="14">
    <w:abstractNumId w:val="7"/>
  </w:num>
  <w:num w:numId="15">
    <w:abstractNumId w:val="41"/>
  </w:num>
  <w:num w:numId="16">
    <w:abstractNumId w:val="23"/>
  </w:num>
  <w:num w:numId="17">
    <w:abstractNumId w:val="37"/>
  </w:num>
  <w:num w:numId="18">
    <w:abstractNumId w:val="14"/>
  </w:num>
  <w:num w:numId="19">
    <w:abstractNumId w:val="36"/>
  </w:num>
  <w:num w:numId="20">
    <w:abstractNumId w:val="28"/>
  </w:num>
  <w:num w:numId="21">
    <w:abstractNumId w:val="13"/>
  </w:num>
  <w:num w:numId="22">
    <w:abstractNumId w:val="22"/>
  </w:num>
  <w:num w:numId="23">
    <w:abstractNumId w:val="24"/>
  </w:num>
  <w:num w:numId="24">
    <w:abstractNumId w:val="34"/>
  </w:num>
  <w:num w:numId="25">
    <w:abstractNumId w:val="33"/>
  </w:num>
  <w:num w:numId="26">
    <w:abstractNumId w:val="10"/>
  </w:num>
  <w:num w:numId="27">
    <w:abstractNumId w:val="18"/>
  </w:num>
  <w:num w:numId="28">
    <w:abstractNumId w:val="6"/>
  </w:num>
  <w:num w:numId="29">
    <w:abstractNumId w:val="1"/>
  </w:num>
  <w:num w:numId="30">
    <w:abstractNumId w:val="4"/>
  </w:num>
  <w:num w:numId="31">
    <w:abstractNumId w:val="25"/>
  </w:num>
  <w:num w:numId="32">
    <w:abstractNumId w:val="21"/>
  </w:num>
  <w:num w:numId="33">
    <w:abstractNumId w:val="30"/>
  </w:num>
  <w:num w:numId="34">
    <w:abstractNumId w:val="20"/>
  </w:num>
  <w:num w:numId="35">
    <w:abstractNumId w:val="27"/>
  </w:num>
  <w:num w:numId="36">
    <w:abstractNumId w:val="2"/>
  </w:num>
  <w:num w:numId="37">
    <w:abstractNumId w:val="32"/>
  </w:num>
  <w:num w:numId="38">
    <w:abstractNumId w:val="31"/>
  </w:num>
  <w:num w:numId="39">
    <w:abstractNumId w:val="29"/>
  </w:num>
  <w:num w:numId="40">
    <w:abstractNumId w:val="11"/>
  </w:num>
  <w:num w:numId="41">
    <w:abstractNumId w:val="15"/>
  </w:num>
  <w:num w:numId="42">
    <w:abstractNumId w:val="26"/>
  </w:num>
  <w:num w:numId="43">
    <w:abstractNumId w:val="38"/>
  </w:num>
  <w:num w:numId="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4FF12"/>
  <w15:docId w15:val="{6ABC61D9-67D3-4B80-8D1E-80DDE9ECA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cs="Times New Roman"/>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6BBD"/>
    <w:pPr>
      <w:spacing w:after="0" w:line="240" w:lineRule="auto"/>
      <w:jc w:val="both"/>
    </w:pPr>
    <w:rPr>
      <w:rFonts w:ascii="Times New Roman" w:hAnsi="Times New Roman" w:cs="Times New Roman"/>
      <w:sz w:val="24"/>
      <w:lang w:eastAsia="fr-FR"/>
    </w:rPr>
  </w:style>
  <w:style w:type="paragraph" w:styleId="Titre1">
    <w:name w:val="heading 1"/>
    <w:basedOn w:val="Normal"/>
    <w:next w:val="Normal"/>
    <w:link w:val="Titre1Car"/>
    <w:autoRedefine/>
    <w:uiPriority w:val="9"/>
    <w:qFormat/>
    <w:rsid w:val="00156C5B"/>
    <w:pPr>
      <w:keepNext/>
      <w:keepLines/>
      <w:spacing w:before="100" w:beforeAutospacing="1" w:after="100" w:afterAutospacing="1"/>
      <w:jc w:val="left"/>
      <w:outlineLvl w:val="0"/>
    </w:pPr>
    <w:rPr>
      <w:rFonts w:ascii="Times New Roman" w:hAnsi="Times New Roman" w:cs="Times New Roman"/>
      <w:b/>
      <w:i w:val="0"/>
      <w:caps w:val="0"/>
      <w:color w:val="000000"/>
      <w:sz w:val="28"/>
      <w:szCs w:val="28"/>
    </w:rPr>
  </w:style>
  <w:style w:type="paragraph" w:styleId="Titre2">
    <w:name w:val="heading 2"/>
    <w:basedOn w:val="Normal"/>
    <w:next w:val="Normal"/>
    <w:link w:val="Titre2Car"/>
    <w:autoRedefine/>
    <w:qFormat/>
    <w:rsid w:val="00171DA3"/>
    <w:pPr>
      <w:tabs>
        <w:tab w:val="left" w:pos="0"/>
        <w:tab w:val="left" w:pos="993"/>
        <w:tab w:val="left" w:pos="2265"/>
        <w:tab w:val="left" w:pos="2436"/>
        <w:tab w:val="left" w:pos="3116"/>
        <w:tab w:val="left" w:pos="4320"/>
      </w:tabs>
      <w:suppressAutoHyphens/>
      <w:spacing w:before="100" w:beforeAutospacing="1" w:after="100" w:afterAutospacing="1"/>
      <w:jc w:val="left"/>
      <w:outlineLvl w:val="1"/>
    </w:pPr>
    <w:rPr>
      <w:rFonts w:ascii="Times New Roman" w:hAnsi="Times New Roman" w:cs="Times New Roman"/>
      <w:b/>
      <w:i w:val="0"/>
      <w:caps w:val="0"/>
      <w:snapToGrid w:val="0"/>
      <w:color w:val="000000"/>
      <w:spacing w:val="-3"/>
      <w:sz w:val="24"/>
      <w:szCs w:val="24"/>
    </w:rPr>
  </w:style>
  <w:style w:type="paragraph" w:styleId="Titre3">
    <w:name w:val="heading 3"/>
    <w:basedOn w:val="Normal"/>
    <w:link w:val="Titre3Car"/>
    <w:autoRedefine/>
    <w:uiPriority w:val="9"/>
    <w:qFormat/>
    <w:rsid w:val="00546780"/>
    <w:pPr>
      <w:widowControl w:val="0"/>
      <w:autoSpaceDE w:val="0"/>
      <w:autoSpaceDN w:val="0"/>
      <w:spacing w:before="100" w:beforeAutospacing="1" w:after="100" w:afterAutospacing="1"/>
      <w:ind w:left="153"/>
      <w:jc w:val="left"/>
      <w:outlineLvl w:val="2"/>
    </w:pPr>
    <w:rPr>
      <w:rFonts w:ascii="Times New Roman" w:hAnsi="Times New Roman" w:cs="Times New Roman"/>
      <w:b/>
      <w:i w:val="1"/>
      <w:caps w:val="0"/>
      <w:color w:val="000000"/>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546780"/>
    <w:rPr>
      <w:rFonts w:ascii="Times New Roman" w:eastAsia="Times New Roman" w:hAnsi="Times New Roman" w:cs="Times New Roman"/>
      <w:i/>
      <w:color w:val="000000"/>
      <w:sz w:val="24"/>
      <w:szCs w:val="24"/>
      <w:u w:val="single"/>
      <w:lang w:eastAsia="fr-FR"/>
    </w:rPr>
  </w:style>
  <w:style w:type="character" w:customStyle="1" w:styleId="Titre1Car">
    <w:name w:val="Titre 1 Car"/>
    <w:basedOn w:val="Policepardfaut"/>
    <w:link w:val="Titre1"/>
    <w:uiPriority w:val="9"/>
    <w:rsid w:val="00156C5B"/>
    <w:rPr>
      <w:rFonts w:ascii="Times New Roman" w:hAnsi="Times New Roman" w:cs="Times New Roman"/>
      <w:b/>
      <w:color w:val="000000"/>
      <w:sz w:val="28"/>
      <w:szCs w:val="32"/>
      <w:u w:val="single"/>
      <w:lang w:eastAsia="fr-FR"/>
    </w:rPr>
  </w:style>
  <w:style w:type="character" w:customStyle="1" w:styleId="Titre2Car">
    <w:name w:val="Titre 2 Car"/>
    <w:basedOn w:val="Policepardfaut"/>
    <w:link w:val="Titre2"/>
    <w:rsid w:val="00171DA3"/>
    <w:rPr>
      <w:rFonts w:ascii="Times New Roman" w:eastAsia="Times New Roman" w:hAnsi="Times New Roman" w:cs="Times New Roman"/>
      <w:b/>
      <w:snapToGrid w:val="0"/>
      <w:color w:val="000000"/>
      <w:spacing w:val="-3"/>
      <w:sz w:val="24"/>
      <w:szCs w:val="24"/>
      <w:lang w:eastAsia="fr-FR"/>
    </w:rPr>
  </w:style>
  <w:style w:type="table" w:styleId="Grilledutableau">
    <w:name w:val="Table Grid"/>
    <w:basedOn w:val="TableauNormal"/>
    <w:uiPriority w:val="39"/>
    <w:rsid w:val="00A16B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LE">
    <w:name w:val="ARTICLE"/>
    <w:basedOn w:val="Normal"/>
    <w:uiPriority w:val="99"/>
    <w:qFormat/>
    <w:rsid w:val="00A16BBD"/>
    <w:pPr>
      <w:numPr>
        <w:numId w:val="3"/>
      </w:numPr>
      <w:pBdr>
        <w:bottom w:val="single" w:sz="4" w:space="1" w:color="auto"/>
      </w:pBdr>
    </w:pPr>
    <w:rPr>
      <w:b/>
      <w:caps/>
      <w:sz w:val="28"/>
      <w:szCs w:val="28"/>
    </w:rPr>
  </w:style>
  <w:style w:type="paragraph" w:customStyle="1" w:styleId="sousarticle">
    <w:name w:val="sous article"/>
    <w:basedOn w:val="Normal"/>
    <w:link w:val="sousarticleCar"/>
    <w:uiPriority w:val="99"/>
    <w:qFormat/>
    <w:rsid w:val="00A16BBD"/>
    <w:pPr>
      <w:numPr>
        <w:ilvl w:val="1"/>
        <w:numId w:val="3"/>
      </w:numPr>
    </w:pPr>
    <w:rPr>
      <w:b/>
    </w:rPr>
  </w:style>
  <w:style w:type="paragraph" w:customStyle="1" w:styleId="soustitre">
    <w:name w:val="sous titre"/>
    <w:basedOn w:val="Normal"/>
    <w:link w:val="soustitreCar"/>
    <w:uiPriority w:val="99"/>
    <w:qFormat/>
    <w:rsid w:val="00A16BBD"/>
    <w:pPr>
      <w:widowControl w:val="0"/>
      <w:numPr>
        <w:ilvl w:val="2"/>
        <w:numId w:val="3"/>
      </w:numPr>
    </w:pPr>
    <w:rPr>
      <w:rFonts w:eastAsia="Times New Roman" w:cs="Times New Roman" w:ascii="Times New Roman" w:hAnsi="Times New Roman"/>
      <w:snapToGrid w:val="0"/>
      <w:u w:val="wave"/>
    </w:rPr>
  </w:style>
  <w:style w:type="character" w:customStyle="1" w:styleId="soustitreCar">
    <w:name w:val="sous titre Car"/>
    <w:basedOn w:val="Policepardfaut"/>
    <w:link w:val="soustitre"/>
    <w:uiPriority w:val="99"/>
    <w:rsid w:val="00A16BBD"/>
    <w:rPr>
      <w:rFonts w:ascii="Times New Roman" w:eastAsia="Times New Roman" w:hAnsi="Times New Roman" w:cs="Times New Roman"/>
      <w:snapToGrid w:val="0"/>
      <w:sz w:val="24"/>
      <w:u w:val="wave"/>
      <w:lang w:eastAsia="fr-FR"/>
    </w:rPr>
  </w:style>
  <w:style w:type="paragraph" w:styleId="Paragraphedeliste">
    <w:name w:val="List Paragraph"/>
    <w:basedOn w:val="Normal"/>
    <w:uiPriority w:val="34"/>
    <w:qFormat/>
    <w:rsid w:val="00A16BBD"/>
    <w:pPr>
      <w:ind w:left="720"/>
      <w:contextualSpacing/>
    </w:pPr>
  </w:style>
  <w:style w:type="character" w:customStyle="1" w:styleId="sousarticleCar">
    <w:name w:val="sous article Car"/>
    <w:basedOn w:val="Policepardfaut"/>
    <w:link w:val="sousarticle"/>
    <w:uiPriority w:val="99"/>
    <w:rsid w:val="00A16BBD"/>
    <w:rPr>
      <w:rFonts w:ascii="Times New Roman" w:hAnsi="Times New Roman" w:cs="Times New Roman"/>
      <w:b/>
      <w:sz w:val="24"/>
      <w:lang w:eastAsia="fr-FR"/>
    </w:rPr>
  </w:style>
  <w:style w:type="paragraph" w:customStyle="1" w:styleId="StyleNormal1ArialNarrow">
    <w:name w:val="Style Normal1 + Arial Narrow"/>
    <w:basedOn w:val="Normal"/>
    <w:rsid w:val="00A16BBD"/>
    <w:pPr>
      <w:widowControl w:val="0"/>
      <w:ind w:left="851"/>
    </w:pPr>
    <w:rPr>
      <w:rFonts w:eastAsia="Times New Roman" w:cs="Times New Roman" w:ascii="Times New Roman" w:hAnsi="Times New Roman"/>
      <w:snapToGrid w:val="0"/>
    </w:rPr>
  </w:style>
  <w:style w:type="character" w:styleId="Marquedecommentaire">
    <w:name w:val="annotation reference"/>
    <w:uiPriority w:val="99"/>
    <w:rsid w:val="00A16BBD"/>
    <w:rPr>
      <w:sz w:val="16"/>
      <w:szCs w:val="16"/>
    </w:rPr>
  </w:style>
  <w:style w:type="paragraph" w:styleId="Commentaire">
    <w:name w:val="annotation text"/>
    <w:basedOn w:val="Normal"/>
    <w:link w:val="CommentaireCar"/>
    <w:uiPriority w:val="99"/>
    <w:rsid w:val="00A16BBD"/>
    <w:rPr>
      <w:rFonts w:eastAsia="Times New Roman" w:cs="Times New Roman" w:ascii="Times New Roman" w:hAnsi="Times New Roman"/>
      <w:sz w:val="20"/>
      <w:szCs w:val="20"/>
    </w:rPr>
  </w:style>
  <w:style w:type="character" w:customStyle="1" w:styleId="CommentaireCar">
    <w:name w:val="Commentaire Car"/>
    <w:basedOn w:val="Policepardfaut"/>
    <w:link w:val="Commentaire"/>
    <w:uiPriority w:val="99"/>
    <w:rsid w:val="00A16BBD"/>
    <w:rPr>
      <w:rFonts w:ascii="Times New Roman" w:eastAsia="Times New Roman" w:hAnsi="Times New Roman" w:cs="Times New Roman"/>
      <w:sz w:val="20"/>
      <w:szCs w:val="20"/>
      <w:lang w:eastAsia="fr-FR"/>
    </w:rPr>
  </w:style>
  <w:style w:type="paragraph" w:styleId="Textedebulles">
    <w:name w:val="Balloon Text"/>
    <w:basedOn w:val="Normal"/>
    <w:link w:val="TextedebullesCar"/>
    <w:uiPriority w:val="99"/>
    <w:semiHidden/>
    <w:unhideWhenUsed/>
    <w:rsid w:val="00A16BBD"/>
    <w:rPr>
      <w:rFonts w:ascii="Times New Roman" w:hAnsi="Times New Roman" w:cs="Times New Roman"/>
      <w:sz w:val="16"/>
      <w:szCs w:val="16"/>
    </w:rPr>
  </w:style>
  <w:style w:type="character" w:customStyle="1" w:styleId="TextedebullesCar">
    <w:name w:val="Texte de bulles Car"/>
    <w:basedOn w:val="Policepardfaut"/>
    <w:link w:val="Textedebulles"/>
    <w:uiPriority w:val="99"/>
    <w:semiHidden/>
    <w:rsid w:val="00A16BBD"/>
    <w:rPr>
      <w:rFonts w:ascii="Times New Roman" w:hAnsi="Times New Roman" w:cs="Times New Roman"/>
      <w:sz w:val="16"/>
      <w:szCs w:val="16"/>
      <w:lang w:eastAsia="fr-FR"/>
    </w:rPr>
  </w:style>
  <w:style w:type="paragraph" w:customStyle="1" w:styleId="StyleStyleNormal1ArialNarrowGauche063cm">
    <w:name w:val="Style Style Normal1 + Arial Narrow + Gauche :  063 cm"/>
    <w:basedOn w:val="Normal"/>
    <w:rsid w:val="00A16BBD"/>
    <w:pPr>
      <w:widowControl w:val="0"/>
      <w:ind w:left="357"/>
    </w:pPr>
    <w:rPr>
      <w:rFonts w:eastAsia="Times New Roman" w:cs="Times New Roman" w:ascii="Times New Roman" w:hAnsi="Times New Roman"/>
      <w:snapToGrid w:val="0"/>
      <w:szCs w:val="20"/>
    </w:rPr>
  </w:style>
  <w:style w:type="character" w:styleId="Lienhypertexte">
    <w:name w:val="Hyperlink"/>
    <w:uiPriority w:val="99"/>
    <w:rsid w:val="00A16BBD"/>
    <w:rPr>
      <w:color w:val="000000"/>
      <w:u w:val="single"/>
    </w:rPr>
  </w:style>
  <w:style w:type="paragraph" w:styleId="Retraitcorpsdetexte">
    <w:name w:val="Body Text Indent"/>
    <w:basedOn w:val="Normal"/>
    <w:link w:val="RetraitcorpsdetexteCar"/>
    <w:rsid w:val="00A16BBD"/>
    <w:pPr>
      <w:spacing w:after="120"/>
      <w:ind w:left="283"/>
    </w:pPr>
    <w:rPr>
      <w:rFonts w:eastAsia="Times New Roman" w:cs="Times New Roman" w:ascii="Times New Roman" w:hAnsi="Times New Roman"/>
      <w:szCs w:val="24"/>
    </w:rPr>
  </w:style>
  <w:style w:type="character" w:customStyle="1" w:styleId="RetraitcorpsdetexteCar">
    <w:name w:val="Retrait corps de texte Car"/>
    <w:basedOn w:val="Policepardfaut"/>
    <w:link w:val="Retraitcorpsdetexte"/>
    <w:rsid w:val="00A16BBD"/>
    <w:rPr>
      <w:rFonts w:ascii="Times New Roman" w:eastAsia="Times New Roman" w:hAnsi="Times New Roman" w:cs="Times New Roman"/>
      <w:sz w:val="24"/>
      <w:szCs w:val="24"/>
      <w:lang w:eastAsia="fr-FR"/>
    </w:rPr>
  </w:style>
  <w:style w:type="paragraph" w:styleId="Retraitcorpsdetexte2">
    <w:name w:val="Body Text Indent 2"/>
    <w:basedOn w:val="Normal"/>
    <w:link w:val="Retraitcorpsdetexte2Car"/>
    <w:rsid w:val="00A16BBD"/>
    <w:pPr>
      <w:spacing w:after="120" w:line="480" w:lineRule="auto"/>
      <w:ind w:left="283"/>
    </w:pPr>
    <w:rPr>
      <w:rFonts w:eastAsia="Times New Roman" w:cs="Times New Roman" w:ascii="Times New Roman" w:hAnsi="Times New Roman"/>
      <w:szCs w:val="24"/>
    </w:rPr>
  </w:style>
  <w:style w:type="character" w:customStyle="1" w:styleId="Retraitcorpsdetexte2Car">
    <w:name w:val="Retrait corps de texte 2 Car"/>
    <w:basedOn w:val="Policepardfaut"/>
    <w:link w:val="Retraitcorpsdetexte2"/>
    <w:rsid w:val="00A16BBD"/>
    <w:rPr>
      <w:rFonts w:ascii="Times New Roman" w:eastAsia="Times New Roman" w:hAnsi="Times New Roman" w:cs="Times New Roman"/>
      <w:sz w:val="24"/>
      <w:szCs w:val="24"/>
      <w:lang w:eastAsia="fr-FR"/>
    </w:rPr>
  </w:style>
  <w:style w:type="paragraph" w:customStyle="1" w:styleId="Normal1">
    <w:name w:val="Normal1"/>
    <w:basedOn w:val="Normal"/>
    <w:link w:val="Normal1Car"/>
    <w:autoRedefine/>
    <w:rsid w:val="00A16BBD"/>
    <w:pPr>
      <w:widowControl w:val="0"/>
      <w:ind w:left="-567"/>
    </w:pPr>
    <w:rPr>
      <w:rFonts w:eastAsia="Times New Roman" w:cs="Times New Roman" w:ascii="Times New Roman" w:hAnsi="Times New Roman"/>
      <w:snapToGrid w:val="0"/>
    </w:rPr>
  </w:style>
  <w:style w:type="character" w:customStyle="1" w:styleId="Normal1Car">
    <w:name w:val="Normal1 Car"/>
    <w:link w:val="Normal1"/>
    <w:rsid w:val="00A16BBD"/>
    <w:rPr>
      <w:rFonts w:ascii="Times New Roman" w:eastAsia="Times New Roman" w:hAnsi="Times New Roman" w:cs="Times New Roman"/>
      <w:snapToGrid w:val="0"/>
      <w:sz w:val="24"/>
      <w:lang w:eastAsia="fr-FR"/>
    </w:rPr>
  </w:style>
  <w:style w:type="paragraph" w:customStyle="1" w:styleId="1PARAGRAPHE">
    <w:name w:val="1_PARAGRAPHE"/>
    <w:rsid w:val="00A16BBD"/>
    <w:pPr>
      <w:tabs>
        <w:tab w:val="left" w:pos="2016"/>
        <w:tab w:val="left" w:pos="5760"/>
      </w:tabs>
      <w:spacing w:after="240" w:line="240" w:lineRule="exact"/>
      <w:ind w:left="1296"/>
      <w:jc w:val="both"/>
    </w:pPr>
    <w:rPr>
      <w:rFonts w:ascii="Times New Roman" w:eastAsia="Times New Roman" w:hAnsi="Times New Roman" w:cs="Times New Roman"/>
      <w:sz w:val="24"/>
      <w:szCs w:val="24"/>
      <w:lang w:eastAsia="fr-FR"/>
    </w:rPr>
  </w:style>
  <w:style w:type="paragraph" w:styleId="Retraitcorpsdetexte3">
    <w:name w:val="Body Text Indent 3"/>
    <w:basedOn w:val="Normal"/>
    <w:link w:val="Retraitcorpsdetexte3Car"/>
    <w:rsid w:val="00A16BBD"/>
    <w:pPr>
      <w:spacing w:after="120"/>
      <w:ind w:left="283"/>
    </w:pPr>
    <w:rPr>
      <w:rFonts w:eastAsia="Times New Roman" w:cs="Times New Roman" w:ascii="Times New Roman" w:hAnsi="Times New Roman"/>
      <w:sz w:val="16"/>
      <w:szCs w:val="16"/>
    </w:rPr>
  </w:style>
  <w:style w:type="character" w:customStyle="1" w:styleId="Retraitcorpsdetexte3Car">
    <w:name w:val="Retrait corps de texte 3 Car"/>
    <w:basedOn w:val="Policepardfaut"/>
    <w:link w:val="Retraitcorpsdetexte3"/>
    <w:rsid w:val="00A16BBD"/>
    <w:rPr>
      <w:rFonts w:ascii="Times New Roman" w:eastAsia="Times New Roman" w:hAnsi="Times New Roman" w:cs="Times New Roman"/>
      <w:sz w:val="16"/>
      <w:szCs w:val="16"/>
      <w:lang w:eastAsia="fr-FR"/>
    </w:rPr>
  </w:style>
  <w:style w:type="paragraph" w:styleId="En-ttedetabledesmatires">
    <w:name w:val="TOC Heading"/>
    <w:basedOn w:val="Titre1"/>
    <w:next w:val="Normal"/>
    <w:uiPriority w:val="39"/>
    <w:semiHidden/>
    <w:unhideWhenUsed/>
    <w:qFormat/>
    <w:rsid w:val="00A16BBD"/>
    <w:pPr>
      <w:spacing w:before="480" w:line="276" w:lineRule="auto"/>
      <w:outlineLvl w:val="9"/>
    </w:pPr>
    <w:rPr>
      <w:rFonts w:eastAsia="Times New Roman" w:ascii="Times New Roman" w:hAnsi="Times New Roman" w:cs="Times New Roman"/>
      <w:bCs/>
      <w:caps w:val="0"/>
      <w:noProof/>
      <w:szCs w:val="28"/>
    </w:rPr>
  </w:style>
  <w:style w:type="paragraph" w:styleId="TM1">
    <w:name w:val="toc 1"/>
    <w:basedOn w:val="Normal"/>
    <w:next w:val="Normal"/>
    <w:autoRedefine/>
    <w:uiPriority w:val="39"/>
    <w:unhideWhenUsed/>
    <w:rsid w:val="00292519"/>
    <w:pPr>
      <w:spacing w:before="120" w:after="120"/>
      <w:jc w:val="left"/>
    </w:pPr>
    <w:rPr>
      <w:rFonts w:ascii="Times New Roman" w:hAnsi="Times New Roman" w:cs="Times New Roman"/>
      <w:b/>
      <w:bCs/>
      <w:caps/>
      <w:sz w:val="20"/>
      <w:szCs w:val="20"/>
    </w:rPr>
  </w:style>
  <w:style w:type="paragraph" w:styleId="TM2">
    <w:name w:val="toc 2"/>
    <w:basedOn w:val="Normal"/>
    <w:next w:val="Normal"/>
    <w:autoRedefine/>
    <w:uiPriority w:val="39"/>
    <w:unhideWhenUsed/>
    <w:rsid w:val="00A16BBD"/>
    <w:pPr>
      <w:ind w:left="240"/>
      <w:jc w:val="left"/>
    </w:pPr>
    <w:rPr>
      <w:rFonts w:ascii="Times New Roman" w:hAnsi="Times New Roman" w:cs="Times New Roman"/>
      <w:smallCaps/>
      <w:sz w:val="20"/>
      <w:szCs w:val="20"/>
    </w:rPr>
  </w:style>
  <w:style w:type="paragraph" w:styleId="TM3">
    <w:name w:val="toc 3"/>
    <w:basedOn w:val="Normal"/>
    <w:next w:val="Normal"/>
    <w:autoRedefine/>
    <w:uiPriority w:val="39"/>
    <w:unhideWhenUsed/>
    <w:rsid w:val="00A16BBD"/>
    <w:pPr>
      <w:ind w:left="480"/>
      <w:jc w:val="left"/>
    </w:pPr>
    <w:rPr>
      <w:rFonts w:ascii="Times New Roman" w:hAnsi="Times New Roman" w:cs="Times New Roman"/>
      <w:i/>
      <w:iCs/>
      <w:sz w:val="20"/>
      <w:szCs w:val="20"/>
    </w:rPr>
  </w:style>
  <w:style w:type="paragraph" w:styleId="En-tte">
    <w:name w:val="header"/>
    <w:basedOn w:val="Normal"/>
    <w:link w:val="En-tteCar"/>
    <w:uiPriority w:val="99"/>
    <w:unhideWhenUsed/>
    <w:rsid w:val="00A16BBD"/>
    <w:pPr>
      <w:tabs>
        <w:tab w:val="center" w:pos="4536"/>
        <w:tab w:val="right" w:pos="9072"/>
      </w:tabs>
    </w:pPr>
  </w:style>
  <w:style w:type="character" w:customStyle="1" w:styleId="En-tteCar">
    <w:name w:val="En-tête Car"/>
    <w:basedOn w:val="Policepardfaut"/>
    <w:link w:val="En-tte"/>
    <w:uiPriority w:val="99"/>
    <w:rsid w:val="00A16BBD"/>
    <w:rPr>
      <w:rFonts w:ascii="Times New Roman" w:hAnsi="Times New Roman" w:cs="Times New Roman"/>
      <w:sz w:val="24"/>
      <w:lang w:eastAsia="fr-FR"/>
    </w:rPr>
  </w:style>
  <w:style w:type="paragraph" w:styleId="Pieddepage">
    <w:name w:val="footer"/>
    <w:basedOn w:val="Normal"/>
    <w:link w:val="PieddepageCar"/>
    <w:uiPriority w:val="99"/>
    <w:unhideWhenUsed/>
    <w:rsid w:val="00A16BBD"/>
    <w:pPr>
      <w:tabs>
        <w:tab w:val="center" w:pos="4536"/>
        <w:tab w:val="right" w:pos="9072"/>
      </w:tabs>
    </w:pPr>
  </w:style>
  <w:style w:type="character" w:customStyle="1" w:styleId="PieddepageCar">
    <w:name w:val="Pied de page Car"/>
    <w:basedOn w:val="Policepardfaut"/>
    <w:link w:val="Pieddepage"/>
    <w:uiPriority w:val="99"/>
    <w:rsid w:val="00A16BBD"/>
    <w:rPr>
      <w:rFonts w:ascii="Times New Roman" w:hAnsi="Times New Roman" w:cs="Times New Roman"/>
      <w:sz w:val="24"/>
      <w:lang w:eastAsia="fr-FR"/>
    </w:rPr>
  </w:style>
  <w:style w:type="paragraph" w:styleId="NormalWeb">
    <w:name w:val="Normal (Web)"/>
    <w:basedOn w:val="Normal"/>
    <w:rsid w:val="00A16BBD"/>
    <w:pPr>
      <w:suppressAutoHyphens/>
      <w:spacing w:before="100" w:after="100"/>
    </w:pPr>
    <w:rPr>
      <w:rFonts w:eastAsia="Times New Roman" w:cs="Times New Roman" w:ascii="Times New Roman" w:hAnsi="Times New Roman"/>
      <w:szCs w:val="24"/>
      <w:lang w:eastAsia="zh-CN"/>
    </w:rPr>
  </w:style>
  <w:style w:type="paragraph" w:customStyle="1" w:styleId="Default">
    <w:name w:val="Default"/>
    <w:rsid w:val="00A16BB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RTEnumrationex">
    <w:name w:val="ART.Enumération ex :"/>
    <w:rsid w:val="00A16BBD"/>
    <w:pPr>
      <w:tabs>
        <w:tab w:val="left" w:pos="2880"/>
      </w:tabs>
      <w:spacing w:after="240" w:line="240" w:lineRule="exact"/>
      <w:ind w:left="2880" w:hanging="720"/>
      <w:jc w:val="both"/>
    </w:pPr>
    <w:rPr>
      <w:rFonts w:ascii="Times New Roman" w:eastAsia="Times New Roman" w:hAnsi="Times New Roman" w:cs="Times New Roman"/>
      <w:sz w:val="24"/>
      <w:szCs w:val="24"/>
      <w:lang w:eastAsia="fr-FR"/>
    </w:rPr>
  </w:style>
  <w:style w:type="paragraph" w:customStyle="1" w:styleId="stylenormal1arialnarrow0">
    <w:name w:val="stylenormal1arialnarrow"/>
    <w:basedOn w:val="Normal"/>
    <w:rsid w:val="00A16BBD"/>
    <w:pPr>
      <w:snapToGrid w:val="0"/>
      <w:ind w:left="851"/>
    </w:pPr>
    <w:rPr>
      <w:rFonts w:eastAsia="Times New Roman" w:cs="Times New Roman" w:ascii="Times New Roman" w:hAnsi="Times New Roman"/>
    </w:rPr>
  </w:style>
  <w:style w:type="character" w:styleId="Lienhypertextesuivivisit">
    <w:name w:val="FollowedHyperlink"/>
    <w:basedOn w:val="Policepardfaut"/>
    <w:uiPriority w:val="99"/>
    <w:semiHidden/>
    <w:unhideWhenUsed/>
    <w:rsid w:val="00A16BBD"/>
    <w:rPr>
      <w:color w:val="000000"/>
      <w:u w:val="single"/>
    </w:rPr>
  </w:style>
  <w:style w:type="paragraph" w:styleId="Objetducommentaire">
    <w:name w:val="annotation subject"/>
    <w:basedOn w:val="Commentaire"/>
    <w:next w:val="Commentaire"/>
    <w:link w:val="ObjetducommentaireCar"/>
    <w:uiPriority w:val="99"/>
    <w:semiHidden/>
    <w:unhideWhenUsed/>
    <w:rsid w:val="00A16BBD"/>
    <w:pPr>
      <w:jc w:val="left"/>
    </w:pPr>
    <w:rPr>
      <w:rFonts w:ascii="Times New Roman" w:hAnsi="Times New Roman" w:cs="Times New Roman"/>
      <w:b/>
      <w:bCs/>
      <w:lang w:eastAsia="en-US"/>
    </w:rPr>
  </w:style>
  <w:style w:type="character" w:customStyle="1" w:styleId="ObjetducommentaireCar">
    <w:name w:val="Objet du commentaire Car"/>
    <w:basedOn w:val="CommentaireCar"/>
    <w:link w:val="Objetducommentaire"/>
    <w:uiPriority w:val="99"/>
    <w:semiHidden/>
    <w:rsid w:val="00A16BBD"/>
    <w:rPr>
      <w:rFonts w:ascii="Times New Roman" w:eastAsia="Times New Roman" w:hAnsi="Times New Roman" w:cs="Times New Roman"/>
      <w:b/>
      <w:bCs/>
      <w:sz w:val="20"/>
      <w:szCs w:val="20"/>
      <w:lang w:eastAsia="fr-FR"/>
    </w:rPr>
  </w:style>
  <w:style w:type="table" w:customStyle="1" w:styleId="Grilledutableau1">
    <w:name w:val="Grille du tableau1"/>
    <w:basedOn w:val="TableauNormal"/>
    <w:next w:val="Grilledutableau"/>
    <w:uiPriority w:val="59"/>
    <w:rsid w:val="00A16B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
    <w:name w:val="Body Text"/>
    <w:basedOn w:val="Normal"/>
    <w:link w:val="CorpsdetexteCar"/>
    <w:uiPriority w:val="99"/>
    <w:unhideWhenUsed/>
    <w:qFormat/>
    <w:rsid w:val="00A16BBD"/>
    <w:pPr>
      <w:spacing w:after="120"/>
    </w:pPr>
  </w:style>
  <w:style w:type="character" w:customStyle="1" w:styleId="CorpsdetexteCar">
    <w:name w:val="Corps de texte Car"/>
    <w:basedOn w:val="Policepardfaut"/>
    <w:link w:val="Corpsdetexte"/>
    <w:uiPriority w:val="99"/>
    <w:rsid w:val="00A16BBD"/>
    <w:rPr>
      <w:rFonts w:ascii="Times New Roman" w:hAnsi="Times New Roman" w:cs="Times New Roman"/>
      <w:sz w:val="24"/>
      <w:lang w:eastAsia="fr-FR"/>
    </w:rPr>
  </w:style>
  <w:style w:type="paragraph" w:styleId="Corpsdetexte2">
    <w:name w:val="Body Text 2"/>
    <w:basedOn w:val="Normal"/>
    <w:link w:val="Corpsdetexte2Car"/>
    <w:uiPriority w:val="99"/>
    <w:semiHidden/>
    <w:unhideWhenUsed/>
    <w:rsid w:val="00A16BBD"/>
    <w:pPr>
      <w:spacing w:after="120" w:line="480" w:lineRule="auto"/>
    </w:pPr>
  </w:style>
  <w:style w:type="character" w:customStyle="1" w:styleId="Corpsdetexte2Car">
    <w:name w:val="Corps de texte 2 Car"/>
    <w:basedOn w:val="Policepardfaut"/>
    <w:link w:val="Corpsdetexte2"/>
    <w:uiPriority w:val="99"/>
    <w:semiHidden/>
    <w:rsid w:val="00A16BBD"/>
    <w:rPr>
      <w:rFonts w:ascii="Times New Roman" w:hAnsi="Times New Roman" w:cs="Times New Roman"/>
      <w:sz w:val="24"/>
      <w:lang w:eastAsia="fr-FR"/>
    </w:rPr>
  </w:style>
  <w:style w:type="character" w:styleId="lev">
    <w:name w:val="Strong"/>
    <w:basedOn w:val="Policepardfaut"/>
    <w:uiPriority w:val="22"/>
    <w:qFormat/>
    <w:rsid w:val="00A16BBD"/>
    <w:rPr>
      <w:b/>
      <w:bCs/>
    </w:rPr>
  </w:style>
  <w:style w:type="character" w:styleId="Emphaseple">
    <w:name w:val="Subtle Emphasis"/>
    <w:basedOn w:val="Policepardfaut"/>
    <w:uiPriority w:val="19"/>
    <w:qFormat/>
    <w:rsid w:val="00A16BBD"/>
    <w:rPr>
      <w:i/>
      <w:iCs/>
      <w:color w:val="000000"/>
    </w:rPr>
  </w:style>
  <w:style w:type="paragraph" w:customStyle="1" w:styleId="Style2">
    <w:name w:val="Style2"/>
    <w:basedOn w:val="Normal"/>
    <w:rsid w:val="00A16BBD"/>
    <w:pPr>
      <w:overflowPunct w:val="0"/>
      <w:autoSpaceDE w:val="0"/>
      <w:autoSpaceDN w:val="0"/>
      <w:adjustRightInd w:val="0"/>
      <w:jc w:val="center"/>
    </w:pPr>
    <w:rPr>
      <w:rFonts w:ascii="Times New Roman" w:eastAsia="Times New Roman" w:hAnsi="Times New Roman" w:cs="Times New Roman"/>
      <w:b/>
      <w:szCs w:val="20"/>
    </w:rPr>
  </w:style>
  <w:style w:type="paragraph" w:styleId="Sansinterligne">
    <w:name w:val="No Spacing"/>
    <w:uiPriority w:val="1"/>
    <w:qFormat/>
    <w:rsid w:val="00A16BBD"/>
    <w:pPr>
      <w:spacing w:after="0" w:line="240" w:lineRule="auto"/>
    </w:pPr>
    <w:rPr>
      <w:rFonts w:ascii="Times New Roman" w:hAnsi="Times New Roman" w:cs="Times New Roman"/>
    </w:rPr>
  </w:style>
  <w:style w:type="paragraph" w:styleId="TM4">
    <w:name w:val="toc 4"/>
    <w:basedOn w:val="Normal"/>
    <w:next w:val="Normal"/>
    <w:autoRedefine/>
    <w:uiPriority w:val="39"/>
    <w:unhideWhenUsed/>
    <w:rsid w:val="00A16BBD"/>
    <w:pPr>
      <w:ind w:left="720"/>
      <w:jc w:val="left"/>
    </w:pPr>
    <w:rPr>
      <w:rFonts w:ascii="Times New Roman" w:hAnsi="Times New Roman" w:cs="Times New Roman"/>
      <w:sz w:val="18"/>
      <w:szCs w:val="18"/>
    </w:rPr>
  </w:style>
  <w:style w:type="paragraph" w:styleId="TM5">
    <w:name w:val="toc 5"/>
    <w:basedOn w:val="Normal"/>
    <w:next w:val="Normal"/>
    <w:autoRedefine/>
    <w:uiPriority w:val="39"/>
    <w:unhideWhenUsed/>
    <w:rsid w:val="00A16BBD"/>
    <w:pPr>
      <w:ind w:left="960"/>
      <w:jc w:val="left"/>
    </w:pPr>
    <w:rPr>
      <w:rFonts w:ascii="Times New Roman" w:hAnsi="Times New Roman" w:cs="Times New Roman"/>
      <w:sz w:val="18"/>
      <w:szCs w:val="18"/>
    </w:rPr>
  </w:style>
  <w:style w:type="paragraph" w:styleId="TM6">
    <w:name w:val="toc 6"/>
    <w:basedOn w:val="Normal"/>
    <w:next w:val="Normal"/>
    <w:autoRedefine/>
    <w:uiPriority w:val="39"/>
    <w:unhideWhenUsed/>
    <w:rsid w:val="00A16BBD"/>
    <w:pPr>
      <w:ind w:left="1200"/>
      <w:jc w:val="left"/>
    </w:pPr>
    <w:rPr>
      <w:rFonts w:ascii="Times New Roman" w:hAnsi="Times New Roman" w:cs="Times New Roman"/>
      <w:sz w:val="18"/>
      <w:szCs w:val="18"/>
    </w:rPr>
  </w:style>
  <w:style w:type="paragraph" w:styleId="TM7">
    <w:name w:val="toc 7"/>
    <w:basedOn w:val="Normal"/>
    <w:next w:val="Normal"/>
    <w:autoRedefine/>
    <w:uiPriority w:val="39"/>
    <w:unhideWhenUsed/>
    <w:rsid w:val="00A16BBD"/>
    <w:pPr>
      <w:ind w:left="1440"/>
      <w:jc w:val="left"/>
    </w:pPr>
    <w:rPr>
      <w:rFonts w:ascii="Times New Roman" w:hAnsi="Times New Roman" w:cs="Times New Roman"/>
      <w:sz w:val="18"/>
      <w:szCs w:val="18"/>
    </w:rPr>
  </w:style>
  <w:style w:type="paragraph" w:styleId="TM8">
    <w:name w:val="toc 8"/>
    <w:basedOn w:val="Normal"/>
    <w:next w:val="Normal"/>
    <w:autoRedefine/>
    <w:uiPriority w:val="39"/>
    <w:unhideWhenUsed/>
    <w:rsid w:val="00A16BBD"/>
    <w:pPr>
      <w:ind w:left="1680"/>
      <w:jc w:val="left"/>
    </w:pPr>
    <w:rPr>
      <w:rFonts w:ascii="Times New Roman" w:hAnsi="Times New Roman" w:cs="Times New Roman"/>
      <w:sz w:val="18"/>
      <w:szCs w:val="18"/>
    </w:rPr>
  </w:style>
  <w:style w:type="paragraph" w:styleId="TM9">
    <w:name w:val="toc 9"/>
    <w:basedOn w:val="Normal"/>
    <w:next w:val="Normal"/>
    <w:autoRedefine/>
    <w:uiPriority w:val="39"/>
    <w:unhideWhenUsed/>
    <w:rsid w:val="00A16BBD"/>
    <w:pPr>
      <w:ind w:left="1920"/>
      <w:jc w:val="left"/>
    </w:pPr>
    <w:rPr>
      <w:rFonts w:ascii="Times New Roman" w:hAnsi="Times New Roman" w:cs="Times New Roman"/>
      <w:sz w:val="18"/>
      <w:szCs w:val="18"/>
    </w:rPr>
  </w:style>
  <w:style w:type="paragraph" w:styleId="Textebrut">
    <w:name w:val="Plain Text"/>
    <w:basedOn w:val="Normal"/>
    <w:link w:val="TextebrutCar"/>
    <w:rsid w:val="00FA7A47"/>
    <w:rPr>
      <w:rFonts w:ascii="Times New Roman" w:eastAsia="Times New Roman" w:hAnsi="Times New Roman" w:cs="Times New Roman"/>
      <w:szCs w:val="20"/>
    </w:rPr>
  </w:style>
  <w:style w:type="character" w:customStyle="1" w:styleId="TextebrutCar">
    <w:name w:val="Texte brut Car"/>
    <w:basedOn w:val="Policepardfaut"/>
    <w:link w:val="Textebrut"/>
    <w:uiPriority w:val="99"/>
    <w:rsid w:val="00FA7A47"/>
    <w:rPr>
      <w:rFonts w:ascii="Times New Roman" w:eastAsia="Times New Roman" w:hAnsi="Times New Roman" w:cs="Times New Roman"/>
      <w:sz w:val="24"/>
      <w:szCs w:val="20"/>
      <w:lang w:eastAsia="fr-FR"/>
    </w:rPr>
  </w:style>
  <w:style w:type="paragraph" w:styleId="Rvision">
    <w:name w:val="Revision"/>
    <w:hidden/>
    <w:uiPriority w:val="99"/>
    <w:semiHidden/>
    <w:rsid w:val="00524E64"/>
    <w:pPr>
      <w:spacing w:after="0" w:line="240" w:lineRule="auto"/>
    </w:pPr>
    <w:rPr>
      <w:rFonts w:ascii="Times New Roman" w:hAnsi="Times New Roman" w:cs="Times New Roman"/>
      <w:sz w:val="24"/>
      <w:lang w:eastAsia="fr-FR"/>
    </w:rPr>
  </w:style>
  <w:style w:type="paragraph" w:customStyle="1" w:styleId="Texte">
    <w:name w:val="Texte"/>
    <w:basedOn w:val="Normal"/>
    <w:link w:val="TexteCar"/>
    <w:rsid w:val="0067488C"/>
    <w:pPr>
      <w:spacing w:before="100" w:beforeAutospacing="1" w:after="100" w:afterAutospacing="1"/>
      <w:jc w:val="left"/>
    </w:pPr>
    <w:rPr>
      <w:rFonts w:ascii="Times New Roman" w:eastAsia="Times New Roman" w:hAnsi="Times New Roman" w:cs="Times New Roman"/>
      <w:noProof/>
      <w:sz w:val="20"/>
      <w:szCs w:val="20"/>
      <w14:shadow w14:blurRad="50800" w14:dist="38100" w14:dir="2700000" w14:sx="100000" w14:sy="100000" w14:kx="0" w14:ky="0" w14:algn="tl">
        <w14:srgbClr w14:val="000000">
          <w14:alpha w14:val="60000"/>
        </w14:srgbClr>
      </w14:shadow>
    </w:rPr>
  </w:style>
  <w:style w:type="character" w:customStyle="1" w:styleId="TexteCar">
    <w:name w:val="Texte Car"/>
    <w:link w:val="Texte"/>
    <w:locked/>
    <w:rsid w:val="0067488C"/>
    <w:rPr>
      <w:rFonts w:ascii="Times New Roman" w:eastAsia="Times New Roman" w:hAnsi="Times New Roman" w:cs="Times New Roman"/>
      <w:noProof/>
      <w:sz w:val="20"/>
      <w:szCs w:val="20"/>
      <w:lang w:eastAsia="fr-FR"/>
      <w14:shadow w14:blurRad="50800" w14:dist="38100" w14:dir="2700000" w14:sx="100000" w14:sy="100000" w14:kx="0" w14:ky="0" w14:algn="tl">
        <w14:srgbClr w14:val="000000">
          <w14:alpha w14:val="60000"/>
        </w14:srgbClr>
      </w14:shadow>
    </w:rPr>
  </w:style>
  <w:style w:type="table" w:customStyle="1" w:styleId="TableauGrille4-Accentuation11">
    <w:name w:val="Tableau Grille 4 - Accentuation 11"/>
    <w:basedOn w:val="TableauNormal"/>
    <w:uiPriority w:val="49"/>
    <w:rsid w:val="0067488C"/>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D9D9D9"/>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D9D9D9"/>
      </w:tcPr>
    </w:tblStylePr>
    <w:tblStylePr w:type="band1Horz">
      <w:tblPr/>
      <w:tcPr>
        <w:shd w:val="clear" w:color="auto" w:fill="D9D9D9"/>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maximilien.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rches.maximilien.f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greffe.ta-montreuil@juradm.fr" TargetMode="External"/><Relationship Id="rId6" Type="http://schemas.openxmlformats.org/officeDocument/2006/relationships/footnotes" Target="footnotes.xml"/><Relationship Id="rId11" Type="http://schemas.openxmlformats.org/officeDocument/2006/relationships/hyperlink" Target="http://www.economie.gouv.fr/daj/formulaires" TargetMode="External"/><Relationship Id="rId5" Type="http://schemas.openxmlformats.org/officeDocument/2006/relationships/webSettings" Target="webSettings.xml"/><Relationship Id="rId15" Type="http://schemas.openxmlformats.org/officeDocument/2006/relationships/hyperlink" Target="https://marches.maximilien.fr/?page=entreprise.EntrepriseGuide" TargetMode="External"/><Relationship Id="rId10" Type="http://schemas.openxmlformats.org/officeDocument/2006/relationships/hyperlink" Target="https://dume.chorus-pro.gouv.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aximilien.fr" TargetMode="External"/><Relationship Id="rId14" Type="http://schemas.openxmlformats.org/officeDocument/2006/relationships/hyperlink" Target="https://marches.maximilien.fr/?page=commun.ConditionsUtilisation&amp;calledFrom=entrepris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Pages>21</Pages>
  <Words>7680</Words>
  <Characters>42241</Characters>
  <Application>Microsoft Office Word</Application>
  <DocSecurity>0</DocSecurity>
  <Lines>352</Lines>
  <Paragraphs>99</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49822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