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F465A" w14:textId="77777777" w:rsidR="00ED1AA7" w:rsidRDefault="00E92B35">
      <w:pPr>
        <w:spacing w:before="57" w:after="57" w:line="360" w:lineRule="auto"/>
        <w:ind w:right="-10"/>
        <w:jc w:val="center"/>
        <w:rPr>
          <w:rFonts w:cs="Arial"/>
          <w:color w:val="1F497D"/>
          <w:lang w:eastAsia="fr-FR"/>
        </w:rPr>
      </w:pP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noProof/>
          <w:color w:val="1F497D"/>
          <w:lang w:eastAsia="fr-FR" w:bidi="ar-SA"/>
        </w:rPr>
        <mc:AlternateContent>
          <mc:Choice Requires="wpg">
            <w:drawing>
              <wp:inline distT="0" distB="0" distL="0" distR="0" wp14:anchorId="7F969F85" wp14:editId="5072B4AA">
                <wp:extent cx="1706880" cy="1135380"/>
                <wp:effectExtent l="0" t="0" r="0" b="0"/>
                <wp:docPr id="1" name="Image 8"/>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tretch/>
                      </pic:blipFill>
                      <pic:spPr bwMode="auto">
                        <a:xfrm>
                          <a:off x="0" y="0"/>
                          <a:ext cx="1706880" cy="1135380"/>
                        </a:xfrm>
                        <a:prstGeom prst="rect">
                          <a:avLst/>
                        </a:prstGeom>
                        <a:noFill/>
                      </pic:spPr>
                    </pic:pic>
                  </a:graphicData>
                </a:graphic>
              </wp:inline>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34.40pt;height:89.40pt;mso-wrap-distance-left:0.00pt;mso-wrap-distance-top:0.00pt;mso-wrap-distance-right:0.00pt;mso-wrap-distance-bottom:0.00pt;z-index:1;" stroked="false">
                <v:imagedata r:id="rId11" o:title=""/>
                <o:lock v:ext="edit" rotation="t"/>
              </v:shape>
            </w:pict>
          </mc:Fallback>
        </mc:AlternateContent>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p>
    <w:p w14:paraId="3EAAC7FB" w14:textId="77777777" w:rsidR="00ED1AA7" w:rsidRDefault="00ED1AA7">
      <w:pPr>
        <w:spacing w:before="57" w:after="57" w:line="360" w:lineRule="auto"/>
        <w:ind w:right="-10"/>
        <w:jc w:val="center"/>
        <w:rPr>
          <w:rFonts w:cs="Arial"/>
          <w:b/>
          <w:bCs/>
          <w:sz w:val="24"/>
        </w:rPr>
      </w:pPr>
    </w:p>
    <w:p w14:paraId="38C6C77E" w14:textId="77777777" w:rsidR="00ED1AA7" w:rsidRDefault="00E92B35">
      <w:pPr>
        <w:spacing w:line="360" w:lineRule="auto"/>
        <w:ind w:right="-1"/>
        <w:jc w:val="center"/>
        <w:rPr>
          <w:rFonts w:cs="Arial"/>
          <w:szCs w:val="20"/>
        </w:rPr>
      </w:pPr>
      <w:r>
        <w:rPr>
          <w:rFonts w:cs="Arial"/>
          <w:b/>
          <w:bCs/>
          <w:sz w:val="24"/>
        </w:rPr>
        <w:t>PARIS OUEST LA DÉFENSE</w:t>
      </w:r>
    </w:p>
    <w:p w14:paraId="3CE00869" w14:textId="77777777" w:rsidR="00ED1AA7" w:rsidRDefault="00E92B35">
      <w:pPr>
        <w:spacing w:line="360" w:lineRule="auto"/>
        <w:ind w:right="-1"/>
        <w:jc w:val="center"/>
        <w:rPr>
          <w:rFonts w:cs="Arial"/>
          <w:szCs w:val="20"/>
        </w:rPr>
      </w:pPr>
      <w:r>
        <w:rPr>
          <w:rFonts w:cs="Arial"/>
          <w:szCs w:val="20"/>
        </w:rPr>
        <w:t>Métropole du Grand Paris</w:t>
      </w:r>
    </w:p>
    <w:p w14:paraId="79AF839A" w14:textId="77777777" w:rsidR="00ED1AA7" w:rsidRDefault="00E92B35">
      <w:pPr>
        <w:spacing w:line="360" w:lineRule="auto"/>
        <w:ind w:right="-1"/>
        <w:jc w:val="center"/>
        <w:rPr>
          <w:rFonts w:cs="Arial"/>
          <w:szCs w:val="20"/>
        </w:rPr>
      </w:pPr>
      <w:r>
        <w:rPr>
          <w:rFonts w:cs="Arial"/>
          <w:szCs w:val="20"/>
        </w:rPr>
        <w:t>1 place du 27 mars 2002</w:t>
      </w:r>
    </w:p>
    <w:p w14:paraId="5D589485" w14:textId="77777777" w:rsidR="00ED1AA7" w:rsidRDefault="00E92B35">
      <w:pPr>
        <w:spacing w:line="360" w:lineRule="auto"/>
        <w:ind w:right="-1"/>
        <w:jc w:val="center"/>
        <w:rPr>
          <w:rFonts w:cs="Arial"/>
          <w:szCs w:val="20"/>
        </w:rPr>
      </w:pPr>
      <w:r>
        <w:rPr>
          <w:rFonts w:cs="Arial"/>
          <w:szCs w:val="20"/>
        </w:rPr>
        <w:t>92000 NANTERRE</w:t>
      </w:r>
    </w:p>
    <w:p w14:paraId="2A46899C" w14:textId="77777777" w:rsidR="00ED1AA7" w:rsidRDefault="00ED1AA7">
      <w:pPr>
        <w:spacing w:line="360" w:lineRule="auto"/>
        <w:ind w:right="-1"/>
        <w:jc w:val="center"/>
        <w:rPr>
          <w:rFonts w:cs="Arial"/>
          <w:szCs w:val="20"/>
        </w:rPr>
      </w:pPr>
    </w:p>
    <w:p w14:paraId="3BE29190" w14:textId="77777777" w:rsidR="00ED1AA7" w:rsidRDefault="00ED1AA7"/>
    <w:p w14:paraId="7DF718AD" w14:textId="77777777" w:rsidR="00ED1AA7" w:rsidRDefault="00ED1AA7"/>
    <w:p w14:paraId="4FDF3D5B" w14:textId="77777777" w:rsidR="00ED1AA7" w:rsidRDefault="00ED1AA7">
      <w:pPr>
        <w:widowControl/>
      </w:pPr>
    </w:p>
    <w:p w14:paraId="4497DDF1" w14:textId="77777777" w:rsidR="00ED1AA7" w:rsidRDefault="00ED1AA7">
      <w:pPr>
        <w:widowControl/>
      </w:pPr>
    </w:p>
    <w:p w14:paraId="112A4F01" w14:textId="77777777" w:rsidR="00ED1AA7" w:rsidRDefault="00ED1AA7">
      <w:pPr>
        <w:widowControl/>
      </w:pPr>
    </w:p>
    <w:p w14:paraId="1F2594C9" w14:textId="77777777" w:rsidR="00ED1AA7" w:rsidRDefault="00ED1AA7">
      <w:pPr>
        <w:widowControl/>
      </w:pPr>
    </w:p>
    <w:p w14:paraId="7FC99811" w14:textId="73E2DE49" w:rsidR="00ED1AA7" w:rsidRDefault="00E92B35">
      <w:pPr>
        <w:widowControl/>
        <w:jc w:val="center"/>
      </w:pPr>
      <w:r>
        <w:rPr>
          <w:rFonts w:cs="Times New Roman"/>
          <w:b/>
          <w:color w:val="000000"/>
          <w:sz w:val="36"/>
          <w:szCs w:val="10"/>
        </w:rPr>
        <w:t>ETUDE « SOBRIETE EN EAU » DU PATRIMOINE INT</w:t>
      </w:r>
      <w:r w:rsidR="00447743">
        <w:rPr>
          <w:rFonts w:cs="Times New Roman"/>
          <w:b/>
          <w:color w:val="000000"/>
          <w:sz w:val="36"/>
          <w:szCs w:val="10"/>
        </w:rPr>
        <w:t xml:space="preserve">ERCOMMUNAL ET DES USAGES DE L’EPT </w:t>
      </w:r>
      <w:r>
        <w:rPr>
          <w:rFonts w:cs="Times New Roman"/>
          <w:b/>
          <w:color w:val="000000"/>
          <w:sz w:val="36"/>
          <w:szCs w:val="10"/>
        </w:rPr>
        <w:t>PARIS OUEST LA DEFENSE</w:t>
      </w:r>
    </w:p>
    <w:p w14:paraId="16A2D84A" w14:textId="77777777" w:rsidR="00ED1AA7" w:rsidRDefault="00ED1AA7">
      <w:pPr>
        <w:widowControl/>
      </w:pPr>
    </w:p>
    <w:p w14:paraId="005039E5" w14:textId="77777777" w:rsidR="00ED1AA7" w:rsidRDefault="00ED1AA7">
      <w:pPr>
        <w:widowControl/>
      </w:pPr>
    </w:p>
    <w:p w14:paraId="7C4B88C6" w14:textId="15475565" w:rsidR="007E1A5C" w:rsidRDefault="00E92B35">
      <w:pPr>
        <w:jc w:val="center"/>
      </w:pPr>
      <w:r>
        <w:t xml:space="preserve">Contrat passé selon une procédure adaptée </w:t>
      </w:r>
    </w:p>
    <w:p w14:paraId="29008872" w14:textId="79E25E60" w:rsidR="00ED1AA7" w:rsidRDefault="00E92B35">
      <w:pPr>
        <w:jc w:val="center"/>
      </w:pPr>
      <w:r>
        <w:t xml:space="preserve">en application des articles L.2123-1 et R.2123-1 du code de la Commande publique </w:t>
      </w:r>
    </w:p>
    <w:p w14:paraId="147F43C6" w14:textId="77777777" w:rsidR="00ED1AA7" w:rsidRDefault="00ED1AA7"/>
    <w:p w14:paraId="690285B1" w14:textId="77777777" w:rsidR="00ED1AA7" w:rsidRDefault="00ED1AA7">
      <w:pPr>
        <w:widowControl/>
      </w:pPr>
    </w:p>
    <w:p w14:paraId="20CFB689" w14:textId="77777777" w:rsidR="00ED1AA7" w:rsidRDefault="00ED1AA7">
      <w:pPr>
        <w:widowControl/>
      </w:pPr>
    </w:p>
    <w:p w14:paraId="5B9A7A70" w14:textId="77777777" w:rsidR="00ED1AA7" w:rsidRDefault="00E92B35">
      <w:pPr>
        <w:widowControl/>
        <w:jc w:val="center"/>
      </w:pPr>
      <w:r>
        <w:t>____________________</w:t>
      </w:r>
    </w:p>
    <w:p w14:paraId="5057FE44" w14:textId="77777777" w:rsidR="00ED1AA7" w:rsidRDefault="00ED1AA7">
      <w:pPr>
        <w:widowControl/>
      </w:pPr>
    </w:p>
    <w:p w14:paraId="2AF43499" w14:textId="77777777" w:rsidR="00ED1AA7" w:rsidRDefault="00ED1AA7">
      <w:pPr>
        <w:widowControl/>
      </w:pPr>
    </w:p>
    <w:p w14:paraId="7592A007" w14:textId="77777777" w:rsidR="00ED1AA7" w:rsidRDefault="00ED1AA7">
      <w:pPr>
        <w:widowControl/>
      </w:pPr>
    </w:p>
    <w:p w14:paraId="15123391" w14:textId="77777777" w:rsidR="00ED1AA7" w:rsidRDefault="00E92B35">
      <w:pPr>
        <w:widowControl/>
        <w:jc w:val="center"/>
        <w:rPr>
          <w:rFonts w:cs="Arial"/>
          <w:b/>
          <w:sz w:val="24"/>
        </w:rPr>
      </w:pPr>
      <w:r>
        <w:rPr>
          <w:rFonts w:cs="Arial"/>
          <w:b/>
          <w:sz w:val="36"/>
        </w:rPr>
        <w:t>RÈGLEMENT DE LA CONSULTATION</w:t>
      </w:r>
    </w:p>
    <w:p w14:paraId="76510170" w14:textId="77777777" w:rsidR="00ED1AA7" w:rsidRDefault="00ED1AA7">
      <w:pPr>
        <w:widowControl/>
        <w:jc w:val="center"/>
        <w:rPr>
          <w:rFonts w:cs="Arial"/>
          <w:b/>
          <w:sz w:val="24"/>
        </w:rPr>
      </w:pPr>
    </w:p>
    <w:p w14:paraId="1CB115A2" w14:textId="77777777" w:rsidR="00ED1AA7" w:rsidRDefault="00E92B35">
      <w:pPr>
        <w:widowControl/>
        <w:jc w:val="center"/>
      </w:pPr>
      <w:r>
        <w:rPr>
          <w:rFonts w:cs="Arial"/>
          <w:sz w:val="28"/>
          <w:szCs w:val="28"/>
        </w:rPr>
        <w:t>(RC)</w:t>
      </w:r>
    </w:p>
    <w:p w14:paraId="49F50B2C" w14:textId="77777777" w:rsidR="00ED1AA7" w:rsidRDefault="00ED1AA7">
      <w:pPr>
        <w:pStyle w:val="Corpsdetexte21"/>
        <w:widowControl/>
      </w:pPr>
    </w:p>
    <w:p w14:paraId="58BA711F" w14:textId="77777777" w:rsidR="00ED1AA7" w:rsidRDefault="00ED1AA7">
      <w:pPr>
        <w:pStyle w:val="Corpsdetexte21"/>
        <w:widowControl/>
      </w:pPr>
    </w:p>
    <w:p w14:paraId="03929FD0" w14:textId="77777777" w:rsidR="00ED1AA7" w:rsidRDefault="00ED1AA7">
      <w:pPr>
        <w:pStyle w:val="Corpsdetexte21"/>
        <w:widowControl/>
      </w:pPr>
    </w:p>
    <w:p w14:paraId="2B09911B" w14:textId="77777777" w:rsidR="00ED1AA7" w:rsidRDefault="00ED1AA7">
      <w:pPr>
        <w:pStyle w:val="Corpsdetexte21"/>
        <w:widowControl/>
        <w:shd w:val="clear" w:color="auto" w:fill="DBDBDB" w:themeFill="accent3" w:themeFillTint="66"/>
      </w:pPr>
    </w:p>
    <w:p w14:paraId="03567492" w14:textId="0154C75C" w:rsidR="00ED1AA7" w:rsidRDefault="00E92B35">
      <w:pPr>
        <w:widowControl/>
        <w:shd w:val="clear" w:color="auto" w:fill="DBDBDB" w:themeFill="accent3" w:themeFillTint="66"/>
        <w:tabs>
          <w:tab w:val="left" w:pos="0"/>
        </w:tabs>
        <w:jc w:val="center"/>
        <w:rPr>
          <w:rFonts w:cs="Arial"/>
          <w:sz w:val="24"/>
          <w:shd w:val="clear" w:color="auto" w:fill="DBDBDB" w:themeFill="accent3" w:themeFillTint="66"/>
        </w:rPr>
      </w:pPr>
      <w:r>
        <w:rPr>
          <w:rFonts w:cs="Arial"/>
          <w:sz w:val="24"/>
        </w:rPr>
        <w:t xml:space="preserve">DATE </w:t>
      </w:r>
      <w:r>
        <w:rPr>
          <w:rFonts w:cs="Arial"/>
          <w:sz w:val="24"/>
          <w:lang w:eastAsia="ar-SA" w:bidi="ar-SA"/>
        </w:rPr>
        <w:t>LIMITE</w:t>
      </w:r>
      <w:r>
        <w:rPr>
          <w:rFonts w:cs="Arial"/>
          <w:sz w:val="24"/>
        </w:rPr>
        <w:t xml:space="preserve"> DE REMISE DES OFFRES DÉMATÉRIALISÉES </w:t>
      </w:r>
      <w:r>
        <w:rPr>
          <w:rFonts w:cs="Arial"/>
          <w:sz w:val="24"/>
          <w:shd w:val="clear" w:color="auto" w:fill="DBDBDB" w:themeFill="accent3" w:themeFillTint="66"/>
        </w:rPr>
        <w:t>:</w:t>
      </w:r>
    </w:p>
    <w:p w14:paraId="29108889" w14:textId="6CA3B79D" w:rsidR="00ED1AA7" w:rsidRDefault="00E92B35">
      <w:pPr>
        <w:widowControl/>
        <w:shd w:val="clear" w:color="auto" w:fill="DBDBDB" w:themeFill="accent3" w:themeFillTint="66"/>
        <w:tabs>
          <w:tab w:val="left" w:pos="0"/>
        </w:tabs>
        <w:jc w:val="center"/>
        <w:rPr>
          <w:rFonts w:cs="Arial"/>
          <w:sz w:val="24"/>
          <w:shd w:val="clear" w:color="auto" w:fill="DBDBDB" w:themeFill="accent3" w:themeFillTint="66"/>
        </w:rPr>
      </w:pPr>
      <w:r>
        <w:rPr>
          <w:rFonts w:cs="Arial"/>
          <w:sz w:val="24"/>
          <w:shd w:val="clear" w:color="auto" w:fill="DBDBDB" w:themeFill="accent3" w:themeFillTint="66"/>
        </w:rPr>
        <w:t>Mardi 1</w:t>
      </w:r>
      <w:r>
        <w:rPr>
          <w:rFonts w:cs="Arial"/>
          <w:sz w:val="24"/>
          <w:shd w:val="clear" w:color="auto" w:fill="DBDBDB" w:themeFill="accent3" w:themeFillTint="66"/>
          <w:vertAlign w:val="superscript"/>
        </w:rPr>
        <w:t>er</w:t>
      </w:r>
      <w:r>
        <w:rPr>
          <w:rFonts w:cs="Arial"/>
          <w:sz w:val="24"/>
          <w:shd w:val="clear" w:color="auto" w:fill="DBDBDB" w:themeFill="accent3" w:themeFillTint="66"/>
        </w:rPr>
        <w:t xml:space="preserve"> </w:t>
      </w:r>
      <w:r w:rsidR="007E1A5C">
        <w:rPr>
          <w:rFonts w:cs="Arial"/>
          <w:sz w:val="24"/>
          <w:shd w:val="clear" w:color="auto" w:fill="DBDBDB" w:themeFill="accent3" w:themeFillTint="66"/>
        </w:rPr>
        <w:t xml:space="preserve">SEPTEMBRE </w:t>
      </w:r>
      <w:r>
        <w:rPr>
          <w:rFonts w:cs="Arial"/>
          <w:sz w:val="24"/>
          <w:shd w:val="clear" w:color="auto" w:fill="DBDBDB" w:themeFill="accent3" w:themeFillTint="66"/>
        </w:rPr>
        <w:t>2026 À 12H00</w:t>
      </w:r>
    </w:p>
    <w:p w14:paraId="5B09A1D4" w14:textId="77777777" w:rsidR="00ED1AA7" w:rsidRDefault="00ED1AA7">
      <w:pPr>
        <w:widowControl/>
        <w:shd w:val="clear" w:color="auto" w:fill="DBDBDB" w:themeFill="accent3" w:themeFillTint="66"/>
        <w:tabs>
          <w:tab w:val="left" w:pos="0"/>
        </w:tabs>
        <w:jc w:val="center"/>
        <w:rPr>
          <w:rFonts w:cs="Arial"/>
          <w:sz w:val="24"/>
          <w:shd w:val="clear" w:color="auto" w:fill="DBDBDB" w:themeFill="accent3" w:themeFillTint="66"/>
        </w:rPr>
      </w:pPr>
    </w:p>
    <w:p w14:paraId="1B922333" w14:textId="5FC7FD84" w:rsidR="00ED1AA7" w:rsidRDefault="00E92B35">
      <w:pPr>
        <w:widowControl/>
        <w:shd w:val="clear" w:color="auto" w:fill="DBDBDB" w:themeFill="accent3" w:themeFillTint="66"/>
        <w:tabs>
          <w:tab w:val="left" w:pos="0"/>
        </w:tabs>
        <w:jc w:val="center"/>
        <w:rPr>
          <w:rFonts w:cs="Arial"/>
          <w:szCs w:val="20"/>
        </w:rPr>
      </w:pPr>
      <w:r>
        <w:rPr>
          <w:rFonts w:cs="Arial"/>
          <w:szCs w:val="20"/>
        </w:rPr>
        <w:t xml:space="preserve">CONTACT : </w:t>
      </w:r>
      <w:r w:rsidR="007E1A5C">
        <w:rPr>
          <w:rFonts w:cs="Arial"/>
          <w:szCs w:val="20"/>
        </w:rPr>
        <w:t>Jeanne DWORZECKI</w:t>
      </w:r>
    </w:p>
    <w:p w14:paraId="6A9873B4" w14:textId="07846E90" w:rsidR="00ED1AA7" w:rsidRDefault="007A7A93">
      <w:pPr>
        <w:widowControl/>
        <w:shd w:val="clear" w:color="auto" w:fill="DBDBDB" w:themeFill="accent3" w:themeFillTint="66"/>
        <w:tabs>
          <w:tab w:val="left" w:pos="0"/>
        </w:tabs>
        <w:jc w:val="center"/>
        <w:rPr>
          <w:rFonts w:cs="Arial"/>
          <w:szCs w:val="20"/>
        </w:rPr>
      </w:pPr>
      <w:hyperlink r:id="rId12" w:tooltip="mailto:prenom.nom@mairie-rueilmalmaison.fr" w:history="1">
        <w:r w:rsidR="00E92B35">
          <w:rPr>
            <w:rStyle w:val="Lienhypertexte"/>
            <w:rFonts w:cs="Arial"/>
            <w:color w:val="auto"/>
            <w:szCs w:val="20"/>
          </w:rPr>
          <w:t>marches.publics@mairie-rueilmalmaison.fr</w:t>
        </w:r>
      </w:hyperlink>
    </w:p>
    <w:p w14:paraId="7A52AD6F" w14:textId="4BEB27CF" w:rsidR="00ED1AA7" w:rsidRDefault="007A7A93">
      <w:pPr>
        <w:widowControl/>
        <w:shd w:val="clear" w:color="auto" w:fill="DBDBDB" w:themeFill="accent3" w:themeFillTint="66"/>
        <w:tabs>
          <w:tab w:val="left" w:pos="0"/>
        </w:tabs>
        <w:jc w:val="center"/>
        <w:rPr>
          <w:rStyle w:val="Lienhypertexte"/>
        </w:rPr>
      </w:pPr>
      <w:hyperlink r:id="rId13" w:tooltip="https://marches.maximilien.fr/" w:history="1">
        <w:r w:rsidR="00E92B35">
          <w:rPr>
            <w:rStyle w:val="Lienhypertexte"/>
            <w:color w:val="auto"/>
          </w:rPr>
          <w:t>https://marches.maximilien.fr/</w:t>
        </w:r>
      </w:hyperlink>
    </w:p>
    <w:p w14:paraId="17630911" w14:textId="77777777" w:rsidR="00ED1AA7" w:rsidRDefault="00ED1AA7">
      <w:pPr>
        <w:widowControl/>
        <w:shd w:val="clear" w:color="auto" w:fill="DBDBDB" w:themeFill="accent3" w:themeFillTint="66"/>
        <w:tabs>
          <w:tab w:val="left" w:pos="0"/>
        </w:tabs>
        <w:jc w:val="center"/>
        <w:rPr>
          <w:rFonts w:cs="Arial"/>
          <w:szCs w:val="20"/>
        </w:rPr>
      </w:pPr>
    </w:p>
    <w:p w14:paraId="50D467F8" w14:textId="77777777" w:rsidR="00ED1AA7" w:rsidRDefault="00ED1AA7">
      <w:pPr>
        <w:widowControl/>
        <w:shd w:val="clear" w:color="auto" w:fill="FFFFFF" w:themeFill="background1"/>
        <w:tabs>
          <w:tab w:val="left" w:pos="0"/>
        </w:tabs>
        <w:rPr>
          <w:rFonts w:cs="Arial"/>
          <w:szCs w:val="20"/>
        </w:rPr>
      </w:pPr>
    </w:p>
    <w:p w14:paraId="4C92A52D" w14:textId="77777777" w:rsidR="00ED1AA7" w:rsidRDefault="00ED1AA7">
      <w:pPr>
        <w:widowControl/>
        <w:shd w:val="clear" w:color="auto" w:fill="FFFFFF" w:themeFill="background1"/>
        <w:tabs>
          <w:tab w:val="left" w:pos="0"/>
        </w:tabs>
        <w:rPr>
          <w:rFonts w:cs="Arial"/>
          <w:szCs w:val="20"/>
        </w:rPr>
      </w:pPr>
    </w:p>
    <w:p w14:paraId="09BA9BBF" w14:textId="56F5B68B" w:rsidR="00ED1AA7" w:rsidRDefault="00ED1AA7">
      <w:pPr>
        <w:rPr>
          <w:rFonts w:cs="Arial"/>
          <w:szCs w:val="20"/>
        </w:rPr>
      </w:pPr>
    </w:p>
    <w:p w14:paraId="2B68C944" w14:textId="6DFDF637" w:rsidR="00ED1AA7" w:rsidRDefault="00E92B35">
      <w:pPr>
        <w:tabs>
          <w:tab w:val="left" w:pos="5553"/>
        </w:tabs>
        <w:rPr>
          <w:rFonts w:cs="Arial"/>
          <w:szCs w:val="20"/>
        </w:rPr>
      </w:pPr>
      <w:r>
        <w:rPr>
          <w:rFonts w:cs="Arial"/>
          <w:szCs w:val="20"/>
        </w:rPr>
        <w:tab/>
      </w:r>
    </w:p>
    <w:p w14:paraId="7FA57D9D" w14:textId="77777777" w:rsidR="00ED1AA7" w:rsidRDefault="00E92B35">
      <w:pPr>
        <w:pageBreakBefore/>
        <w:widowControl/>
        <w:tabs>
          <w:tab w:val="left" w:pos="0"/>
        </w:tabs>
        <w:jc w:val="center"/>
        <w:rPr>
          <w:rFonts w:cs="Arial"/>
          <w:szCs w:val="20"/>
        </w:rPr>
      </w:pPr>
      <w:r>
        <w:rPr>
          <w:rFonts w:cs="Arial"/>
          <w:b/>
          <w:bCs/>
          <w:szCs w:val="20"/>
        </w:rPr>
        <w:lastRenderedPageBreak/>
        <w:t>SOMMAIRE</w:t>
      </w:r>
    </w:p>
    <w:p w14:paraId="0ED92C40" w14:textId="77777777" w:rsidR="00ED1AA7" w:rsidRDefault="00ED1AA7">
      <w:pPr>
        <w:widowControl/>
        <w:tabs>
          <w:tab w:val="left" w:pos="0"/>
        </w:tabs>
        <w:rPr>
          <w:rFonts w:cs="Arial"/>
          <w:szCs w:val="20"/>
        </w:rPr>
      </w:pPr>
    </w:p>
    <w:p w14:paraId="57351BAC" w14:textId="77777777" w:rsidR="00ED1AA7" w:rsidRDefault="00E92B35">
      <w:pPr>
        <w:pStyle w:val="TM1"/>
        <w:rPr>
          <w:rFonts w:asciiTheme="minorHAnsi" w:eastAsiaTheme="minorEastAsia" w:hAnsiTheme="minorHAnsi" w:cstheme="minorBidi"/>
          <w:b w:val="0"/>
          <w:sz w:val="22"/>
          <w:szCs w:val="22"/>
          <w:lang w:eastAsia="fr-FR" w:bidi="ar-SA"/>
        </w:rPr>
      </w:pPr>
      <w:r>
        <w:fldChar w:fldCharType="begin"/>
      </w:r>
      <w:r>
        <w:instrText xml:space="preserve"> TOC \f \o "1-9" \o "1-9" </w:instrText>
      </w:r>
      <w:r>
        <w:fldChar w:fldCharType="separate"/>
      </w:r>
      <w:r>
        <w:t>ARTICLE 1 – ACHETEUR</w:t>
      </w:r>
      <w:r>
        <w:tab/>
      </w:r>
      <w:r>
        <w:fldChar w:fldCharType="begin"/>
      </w:r>
      <w:r>
        <w:instrText xml:space="preserve"> PAGEREF _Toc233623640 \h </w:instrText>
      </w:r>
      <w:r>
        <w:fldChar w:fldCharType="separate"/>
      </w:r>
      <w:r>
        <w:t>4</w:t>
      </w:r>
      <w:r>
        <w:fldChar w:fldCharType="end"/>
      </w:r>
    </w:p>
    <w:p w14:paraId="2B73777E" w14:textId="77777777" w:rsidR="00ED1AA7" w:rsidRDefault="00E92B35">
      <w:pPr>
        <w:pStyle w:val="TM1"/>
        <w:rPr>
          <w:rFonts w:asciiTheme="minorHAnsi" w:eastAsiaTheme="minorEastAsia" w:hAnsiTheme="minorHAnsi" w:cstheme="minorBidi"/>
          <w:b w:val="0"/>
          <w:sz w:val="22"/>
          <w:szCs w:val="22"/>
          <w:lang w:eastAsia="fr-FR" w:bidi="ar-SA"/>
        </w:rPr>
      </w:pPr>
      <w:r>
        <w:t>ARTICLE 2 – OBJET DU CONTRAT – DISPOSITIONS GÉNÉRALES</w:t>
      </w:r>
      <w:r>
        <w:tab/>
      </w:r>
      <w:r>
        <w:fldChar w:fldCharType="begin"/>
      </w:r>
      <w:r>
        <w:instrText xml:space="preserve"> PAGEREF _Toc233623641 \h </w:instrText>
      </w:r>
      <w:r>
        <w:fldChar w:fldCharType="separate"/>
      </w:r>
      <w:r>
        <w:t>4</w:t>
      </w:r>
      <w:r>
        <w:fldChar w:fldCharType="end"/>
      </w:r>
    </w:p>
    <w:p w14:paraId="07BBE6BB" w14:textId="77777777" w:rsidR="00ED1AA7" w:rsidRDefault="00E92B35">
      <w:pPr>
        <w:pStyle w:val="TM2"/>
        <w:rPr>
          <w:rFonts w:asciiTheme="minorHAnsi" w:eastAsiaTheme="minorEastAsia" w:hAnsiTheme="minorHAnsi" w:cstheme="minorBidi"/>
          <w:sz w:val="22"/>
          <w:szCs w:val="22"/>
          <w:lang w:eastAsia="fr-FR" w:bidi="ar-SA"/>
        </w:rPr>
      </w:pPr>
      <w:r>
        <w:t>2.1 Objet du contrat</w:t>
      </w:r>
      <w:r>
        <w:tab/>
      </w:r>
      <w:r>
        <w:fldChar w:fldCharType="begin"/>
      </w:r>
      <w:r>
        <w:instrText xml:space="preserve"> PAGEREF _Toc233623642 \h </w:instrText>
      </w:r>
      <w:r>
        <w:fldChar w:fldCharType="separate"/>
      </w:r>
      <w:r>
        <w:t>4</w:t>
      </w:r>
      <w:r>
        <w:fldChar w:fldCharType="end"/>
      </w:r>
    </w:p>
    <w:p w14:paraId="4E8F5220" w14:textId="77777777" w:rsidR="00ED1AA7" w:rsidRDefault="00E92B35">
      <w:pPr>
        <w:pStyle w:val="TM2"/>
        <w:rPr>
          <w:rFonts w:asciiTheme="minorHAnsi" w:eastAsiaTheme="minorEastAsia" w:hAnsiTheme="minorHAnsi" w:cstheme="minorBidi"/>
          <w:sz w:val="22"/>
          <w:szCs w:val="22"/>
          <w:lang w:eastAsia="fr-FR" w:bidi="ar-SA"/>
        </w:rPr>
      </w:pPr>
      <w:r>
        <w:t>2.2 Nature et forme du contrat</w:t>
      </w:r>
      <w:r>
        <w:tab/>
      </w:r>
      <w:r>
        <w:fldChar w:fldCharType="begin"/>
      </w:r>
      <w:r>
        <w:instrText xml:space="preserve"> PAGEREF _Toc233623643 \h </w:instrText>
      </w:r>
      <w:r>
        <w:fldChar w:fldCharType="separate"/>
      </w:r>
      <w:r>
        <w:t>4</w:t>
      </w:r>
      <w:r>
        <w:fldChar w:fldCharType="end"/>
      </w:r>
    </w:p>
    <w:p w14:paraId="6B4E6652" w14:textId="77777777" w:rsidR="00ED1AA7" w:rsidRDefault="00E92B35">
      <w:pPr>
        <w:pStyle w:val="TM2"/>
        <w:rPr>
          <w:rFonts w:asciiTheme="minorHAnsi" w:eastAsiaTheme="minorEastAsia" w:hAnsiTheme="minorHAnsi" w:cstheme="minorBidi"/>
          <w:sz w:val="22"/>
          <w:szCs w:val="22"/>
          <w:lang w:eastAsia="fr-FR" w:bidi="ar-SA"/>
        </w:rPr>
      </w:pPr>
      <w:r>
        <w:t>2.3 Allotissement</w:t>
      </w:r>
      <w:r>
        <w:tab/>
      </w:r>
      <w:r>
        <w:fldChar w:fldCharType="begin"/>
      </w:r>
      <w:r>
        <w:instrText xml:space="preserve"> PAGEREF _Toc233623644 \h </w:instrText>
      </w:r>
      <w:r>
        <w:fldChar w:fldCharType="separate"/>
      </w:r>
      <w:r>
        <w:t>4</w:t>
      </w:r>
      <w:r>
        <w:fldChar w:fldCharType="end"/>
      </w:r>
    </w:p>
    <w:p w14:paraId="39B849AE" w14:textId="77777777" w:rsidR="00ED1AA7" w:rsidRDefault="00E92B35">
      <w:pPr>
        <w:pStyle w:val="TM2"/>
        <w:rPr>
          <w:rFonts w:asciiTheme="minorHAnsi" w:eastAsiaTheme="minorEastAsia" w:hAnsiTheme="minorHAnsi" w:cstheme="minorBidi"/>
          <w:sz w:val="22"/>
          <w:szCs w:val="22"/>
          <w:lang w:eastAsia="fr-FR" w:bidi="ar-SA"/>
        </w:rPr>
      </w:pPr>
      <w:r>
        <w:t>2.4 Durée du contrat</w:t>
      </w:r>
      <w:r>
        <w:tab/>
      </w:r>
      <w:r>
        <w:fldChar w:fldCharType="begin"/>
      </w:r>
      <w:r>
        <w:instrText xml:space="preserve"> PAGEREF _Toc233623645 \h </w:instrText>
      </w:r>
      <w:r>
        <w:fldChar w:fldCharType="separate"/>
      </w:r>
      <w:r>
        <w:t>4</w:t>
      </w:r>
      <w:r>
        <w:fldChar w:fldCharType="end"/>
      </w:r>
    </w:p>
    <w:p w14:paraId="6DEF75A5" w14:textId="77777777" w:rsidR="00ED1AA7" w:rsidRDefault="00E92B35">
      <w:pPr>
        <w:pStyle w:val="TM2"/>
        <w:rPr>
          <w:rFonts w:asciiTheme="minorHAnsi" w:eastAsiaTheme="minorEastAsia" w:hAnsiTheme="minorHAnsi" w:cstheme="minorBidi"/>
          <w:sz w:val="22"/>
          <w:szCs w:val="22"/>
          <w:lang w:eastAsia="fr-FR" w:bidi="ar-SA"/>
        </w:rPr>
      </w:pPr>
      <w:r>
        <w:t>2.5 Variante</w:t>
      </w:r>
      <w:r>
        <w:tab/>
      </w:r>
      <w:r>
        <w:fldChar w:fldCharType="begin"/>
      </w:r>
      <w:r>
        <w:instrText xml:space="preserve"> PAGEREF _Toc233623646 \h </w:instrText>
      </w:r>
      <w:r>
        <w:fldChar w:fldCharType="separate"/>
      </w:r>
      <w:r>
        <w:t>4</w:t>
      </w:r>
      <w:r>
        <w:fldChar w:fldCharType="end"/>
      </w:r>
    </w:p>
    <w:p w14:paraId="16812831" w14:textId="77777777" w:rsidR="00ED1AA7" w:rsidRDefault="00E92B35">
      <w:pPr>
        <w:pStyle w:val="TM2"/>
        <w:rPr>
          <w:rFonts w:asciiTheme="minorHAnsi" w:eastAsiaTheme="minorEastAsia" w:hAnsiTheme="minorHAnsi" w:cstheme="minorBidi"/>
          <w:sz w:val="22"/>
          <w:szCs w:val="22"/>
          <w:lang w:eastAsia="fr-FR" w:bidi="ar-SA"/>
        </w:rPr>
      </w:pPr>
      <w:r>
        <w:t>2.6 Options</w:t>
      </w:r>
      <w:r>
        <w:tab/>
      </w:r>
      <w:r>
        <w:fldChar w:fldCharType="begin"/>
      </w:r>
      <w:r>
        <w:instrText xml:space="preserve"> PAGEREF _Toc233623647 \h </w:instrText>
      </w:r>
      <w:r>
        <w:fldChar w:fldCharType="separate"/>
      </w:r>
      <w:r>
        <w:t>4</w:t>
      </w:r>
      <w:r>
        <w:fldChar w:fldCharType="end"/>
      </w:r>
    </w:p>
    <w:p w14:paraId="73EF8CFB" w14:textId="77777777" w:rsidR="00ED1AA7" w:rsidRDefault="00E92B35">
      <w:pPr>
        <w:pStyle w:val="TM2"/>
        <w:rPr>
          <w:rFonts w:asciiTheme="minorHAnsi" w:eastAsiaTheme="minorEastAsia" w:hAnsiTheme="minorHAnsi" w:cstheme="minorBidi"/>
          <w:sz w:val="22"/>
          <w:szCs w:val="22"/>
          <w:lang w:eastAsia="fr-FR" w:bidi="ar-SA"/>
        </w:rPr>
      </w:pPr>
      <w:r>
        <w:t>2.7 Langue et unité monétaire</w:t>
      </w:r>
      <w:r>
        <w:tab/>
      </w:r>
      <w:r>
        <w:fldChar w:fldCharType="begin"/>
      </w:r>
      <w:r>
        <w:instrText xml:space="preserve"> PAGEREF _Toc233623648 \h </w:instrText>
      </w:r>
      <w:r>
        <w:fldChar w:fldCharType="separate"/>
      </w:r>
      <w:r>
        <w:t>5</w:t>
      </w:r>
      <w:r>
        <w:fldChar w:fldCharType="end"/>
      </w:r>
    </w:p>
    <w:p w14:paraId="48006754" w14:textId="77777777" w:rsidR="00ED1AA7" w:rsidRDefault="00E92B35">
      <w:pPr>
        <w:pStyle w:val="TM1"/>
        <w:rPr>
          <w:rFonts w:asciiTheme="minorHAnsi" w:eastAsiaTheme="minorEastAsia" w:hAnsiTheme="minorHAnsi" w:cstheme="minorBidi"/>
          <w:b w:val="0"/>
          <w:sz w:val="22"/>
          <w:szCs w:val="22"/>
          <w:lang w:eastAsia="fr-FR" w:bidi="ar-SA"/>
        </w:rPr>
      </w:pPr>
      <w:r>
        <w:t>ARTICLE 3 – MODALITÉS D'EXÉCUTION DU CONTRAT</w:t>
      </w:r>
      <w:r>
        <w:tab/>
      </w:r>
      <w:r>
        <w:fldChar w:fldCharType="begin"/>
      </w:r>
      <w:r>
        <w:instrText xml:space="preserve"> PAGEREF _Toc233623649 \h </w:instrText>
      </w:r>
      <w:r>
        <w:fldChar w:fldCharType="separate"/>
      </w:r>
      <w:r>
        <w:t>5</w:t>
      </w:r>
      <w:r>
        <w:fldChar w:fldCharType="end"/>
      </w:r>
    </w:p>
    <w:p w14:paraId="5288DBF4" w14:textId="77777777" w:rsidR="00ED1AA7" w:rsidRDefault="00E92B35">
      <w:pPr>
        <w:pStyle w:val="TM2"/>
        <w:rPr>
          <w:rFonts w:asciiTheme="minorHAnsi" w:eastAsiaTheme="minorEastAsia" w:hAnsiTheme="minorHAnsi" w:cstheme="minorBidi"/>
          <w:sz w:val="22"/>
          <w:szCs w:val="22"/>
          <w:lang w:eastAsia="fr-FR" w:bidi="ar-SA"/>
        </w:rPr>
      </w:pPr>
      <w:r>
        <w:t>3.1 Modalités de financement et de paiement</w:t>
      </w:r>
      <w:r>
        <w:tab/>
      </w:r>
      <w:r>
        <w:fldChar w:fldCharType="begin"/>
      </w:r>
      <w:r>
        <w:instrText xml:space="preserve"> PAGEREF _Toc233623650 \h </w:instrText>
      </w:r>
      <w:r>
        <w:fldChar w:fldCharType="separate"/>
      </w:r>
      <w:r>
        <w:t>5</w:t>
      </w:r>
      <w:r>
        <w:fldChar w:fldCharType="end"/>
      </w:r>
    </w:p>
    <w:p w14:paraId="676B02B2" w14:textId="77777777" w:rsidR="00ED1AA7" w:rsidRDefault="00E92B35">
      <w:pPr>
        <w:pStyle w:val="TM2"/>
        <w:rPr>
          <w:rFonts w:asciiTheme="minorHAnsi" w:eastAsiaTheme="minorEastAsia" w:hAnsiTheme="minorHAnsi" w:cstheme="minorBidi"/>
          <w:sz w:val="22"/>
          <w:szCs w:val="22"/>
          <w:lang w:eastAsia="fr-FR" w:bidi="ar-SA"/>
        </w:rPr>
      </w:pPr>
      <w:r>
        <w:t>3.2 Avance</w:t>
      </w:r>
      <w:r>
        <w:tab/>
      </w:r>
      <w:r>
        <w:fldChar w:fldCharType="begin"/>
      </w:r>
      <w:r>
        <w:instrText xml:space="preserve"> PAGEREF _Toc233623651 \h </w:instrText>
      </w:r>
      <w:r>
        <w:fldChar w:fldCharType="separate"/>
      </w:r>
      <w:r>
        <w:t>5</w:t>
      </w:r>
      <w:r>
        <w:fldChar w:fldCharType="end"/>
      </w:r>
    </w:p>
    <w:p w14:paraId="0F534574" w14:textId="77777777" w:rsidR="00ED1AA7" w:rsidRDefault="00E92B35">
      <w:pPr>
        <w:pStyle w:val="TM2"/>
        <w:rPr>
          <w:rFonts w:asciiTheme="minorHAnsi" w:eastAsiaTheme="minorEastAsia" w:hAnsiTheme="minorHAnsi" w:cstheme="minorBidi"/>
          <w:sz w:val="22"/>
          <w:szCs w:val="22"/>
          <w:lang w:eastAsia="fr-FR" w:bidi="ar-SA"/>
        </w:rPr>
      </w:pPr>
      <w:r>
        <w:t>3.3 Acompte et règlement partiel définitif</w:t>
      </w:r>
      <w:r>
        <w:tab/>
      </w:r>
      <w:r>
        <w:fldChar w:fldCharType="begin"/>
      </w:r>
      <w:r>
        <w:instrText xml:space="preserve"> PAGEREF _Toc233623652 \h </w:instrText>
      </w:r>
      <w:r>
        <w:fldChar w:fldCharType="separate"/>
      </w:r>
      <w:r>
        <w:t>5</w:t>
      </w:r>
      <w:r>
        <w:fldChar w:fldCharType="end"/>
      </w:r>
    </w:p>
    <w:p w14:paraId="089C1E01" w14:textId="77777777" w:rsidR="00ED1AA7" w:rsidRDefault="00E92B35">
      <w:pPr>
        <w:pStyle w:val="TM1"/>
        <w:rPr>
          <w:rFonts w:asciiTheme="minorHAnsi" w:eastAsiaTheme="minorEastAsia" w:hAnsiTheme="minorHAnsi" w:cstheme="minorBidi"/>
          <w:b w:val="0"/>
          <w:sz w:val="22"/>
          <w:szCs w:val="22"/>
          <w:lang w:eastAsia="fr-FR" w:bidi="ar-SA"/>
        </w:rPr>
      </w:pPr>
      <w:r>
        <w:t>ARTICLE 4 – DOSSIER DE CONSULTATIONS DES ENTREPRISES (DCE)</w:t>
      </w:r>
      <w:r>
        <w:tab/>
      </w:r>
      <w:r>
        <w:fldChar w:fldCharType="begin"/>
      </w:r>
      <w:r>
        <w:instrText xml:space="preserve"> PAGEREF _Toc233623653 \h </w:instrText>
      </w:r>
      <w:r>
        <w:fldChar w:fldCharType="separate"/>
      </w:r>
      <w:r>
        <w:t>5</w:t>
      </w:r>
      <w:r>
        <w:fldChar w:fldCharType="end"/>
      </w:r>
    </w:p>
    <w:p w14:paraId="6837BBF1" w14:textId="77777777" w:rsidR="00ED1AA7" w:rsidRDefault="00E92B35">
      <w:pPr>
        <w:pStyle w:val="TM2"/>
        <w:rPr>
          <w:rFonts w:asciiTheme="minorHAnsi" w:eastAsiaTheme="minorEastAsia" w:hAnsiTheme="minorHAnsi" w:cstheme="minorBidi"/>
          <w:sz w:val="22"/>
          <w:szCs w:val="22"/>
          <w:lang w:eastAsia="fr-FR" w:bidi="ar-SA"/>
        </w:rPr>
      </w:pPr>
      <w:r>
        <w:t>4.1 Composition du DCE</w:t>
      </w:r>
      <w:r>
        <w:tab/>
      </w:r>
      <w:r>
        <w:fldChar w:fldCharType="begin"/>
      </w:r>
      <w:r>
        <w:instrText xml:space="preserve"> PAGEREF _Toc233623654 \h </w:instrText>
      </w:r>
      <w:r>
        <w:fldChar w:fldCharType="separate"/>
      </w:r>
      <w:r>
        <w:t>5</w:t>
      </w:r>
      <w:r>
        <w:fldChar w:fldCharType="end"/>
      </w:r>
    </w:p>
    <w:p w14:paraId="3D31F381" w14:textId="77777777" w:rsidR="00ED1AA7" w:rsidRDefault="00E92B35">
      <w:pPr>
        <w:pStyle w:val="TM2"/>
        <w:rPr>
          <w:rFonts w:asciiTheme="minorHAnsi" w:eastAsiaTheme="minorEastAsia" w:hAnsiTheme="minorHAnsi" w:cstheme="minorBidi"/>
          <w:sz w:val="22"/>
          <w:szCs w:val="22"/>
          <w:lang w:eastAsia="fr-FR" w:bidi="ar-SA"/>
        </w:rPr>
      </w:pPr>
      <w:r>
        <w:t>4.2 Modifications du DCE</w:t>
      </w:r>
      <w:r>
        <w:tab/>
      </w:r>
      <w:r>
        <w:fldChar w:fldCharType="begin"/>
      </w:r>
      <w:r>
        <w:instrText xml:space="preserve"> PAGEREF _Toc233623655 \h </w:instrText>
      </w:r>
      <w:r>
        <w:fldChar w:fldCharType="separate"/>
      </w:r>
      <w:r>
        <w:t>5</w:t>
      </w:r>
      <w:r>
        <w:fldChar w:fldCharType="end"/>
      </w:r>
    </w:p>
    <w:p w14:paraId="4057655E" w14:textId="77777777" w:rsidR="00ED1AA7" w:rsidRDefault="00E92B35">
      <w:pPr>
        <w:pStyle w:val="TM1"/>
        <w:rPr>
          <w:rFonts w:asciiTheme="minorHAnsi" w:eastAsiaTheme="minorEastAsia" w:hAnsiTheme="minorHAnsi" w:cstheme="minorBidi"/>
          <w:b w:val="0"/>
          <w:sz w:val="22"/>
          <w:szCs w:val="22"/>
          <w:lang w:eastAsia="fr-FR" w:bidi="ar-SA"/>
        </w:rPr>
      </w:pPr>
      <w:r>
        <w:t>ARTICLE 5 – PRÉSENTATION ET DÉLAI DE VALIDITÉ DES PLIS</w:t>
      </w:r>
      <w:r>
        <w:tab/>
      </w:r>
      <w:r>
        <w:fldChar w:fldCharType="begin"/>
      </w:r>
      <w:r>
        <w:instrText xml:space="preserve"> PAGEREF _Toc233623656 \h </w:instrText>
      </w:r>
      <w:r>
        <w:fldChar w:fldCharType="separate"/>
      </w:r>
      <w:r>
        <w:t>6</w:t>
      </w:r>
      <w:r>
        <w:fldChar w:fldCharType="end"/>
      </w:r>
    </w:p>
    <w:p w14:paraId="73D8A841" w14:textId="77777777" w:rsidR="00ED1AA7" w:rsidRDefault="00E92B35">
      <w:pPr>
        <w:pStyle w:val="TM2"/>
        <w:rPr>
          <w:rFonts w:asciiTheme="minorHAnsi" w:eastAsiaTheme="minorEastAsia" w:hAnsiTheme="minorHAnsi" w:cstheme="minorBidi"/>
          <w:sz w:val="22"/>
          <w:szCs w:val="22"/>
          <w:lang w:eastAsia="fr-FR" w:bidi="ar-SA"/>
        </w:rPr>
      </w:pPr>
      <w:r>
        <w:t>5.1 Dossier de candidature</w:t>
      </w:r>
      <w:r>
        <w:tab/>
      </w:r>
      <w:r>
        <w:fldChar w:fldCharType="begin"/>
      </w:r>
      <w:r>
        <w:instrText xml:space="preserve"> PAGEREF _Toc233623657 \h </w:instrText>
      </w:r>
      <w:r>
        <w:fldChar w:fldCharType="separate"/>
      </w:r>
      <w:r>
        <w:t>6</w:t>
      </w:r>
      <w:r>
        <w:fldChar w:fldCharType="end"/>
      </w:r>
    </w:p>
    <w:p w14:paraId="59BBAF09" w14:textId="77777777" w:rsidR="00ED1AA7" w:rsidRDefault="00E92B35">
      <w:pPr>
        <w:pStyle w:val="TM3"/>
        <w:tabs>
          <w:tab w:val="left" w:pos="1415"/>
        </w:tabs>
        <w:rPr>
          <w:rFonts w:asciiTheme="minorHAnsi" w:eastAsiaTheme="minorEastAsia" w:hAnsiTheme="minorHAnsi" w:cstheme="minorBidi"/>
          <w:i w:val="0"/>
          <w:sz w:val="22"/>
          <w:szCs w:val="22"/>
          <w:lang w:eastAsia="fr-FR" w:bidi="ar-SA"/>
        </w:rPr>
      </w:pPr>
      <w:r>
        <w:t>5.1.1</w:t>
      </w:r>
      <w:r>
        <w:rPr>
          <w:rFonts w:asciiTheme="minorHAnsi" w:eastAsiaTheme="minorEastAsia" w:hAnsiTheme="minorHAnsi" w:cstheme="minorBidi"/>
          <w:i w:val="0"/>
          <w:sz w:val="22"/>
          <w:szCs w:val="22"/>
          <w:lang w:eastAsia="fr-FR" w:bidi="ar-SA"/>
        </w:rPr>
        <w:tab/>
      </w:r>
      <w:r>
        <w:t>Contenu</w:t>
      </w:r>
      <w:r>
        <w:tab/>
      </w:r>
      <w:r>
        <w:fldChar w:fldCharType="begin"/>
      </w:r>
      <w:r>
        <w:instrText xml:space="preserve"> PAGEREF _Toc233623658 \h </w:instrText>
      </w:r>
      <w:r>
        <w:fldChar w:fldCharType="separate"/>
      </w:r>
      <w:r>
        <w:t>6</w:t>
      </w:r>
      <w:r>
        <w:fldChar w:fldCharType="end"/>
      </w:r>
    </w:p>
    <w:p w14:paraId="1036DBFE" w14:textId="77777777" w:rsidR="00ED1AA7" w:rsidRDefault="00E92B35">
      <w:pPr>
        <w:pStyle w:val="TM3"/>
        <w:tabs>
          <w:tab w:val="left" w:pos="1415"/>
        </w:tabs>
        <w:rPr>
          <w:rFonts w:asciiTheme="minorHAnsi" w:eastAsiaTheme="minorEastAsia" w:hAnsiTheme="minorHAnsi" w:cstheme="minorBidi"/>
          <w:i w:val="0"/>
          <w:sz w:val="22"/>
          <w:szCs w:val="22"/>
          <w:lang w:eastAsia="fr-FR" w:bidi="ar-SA"/>
        </w:rPr>
      </w:pPr>
      <w:r>
        <w:t>5.1.2</w:t>
      </w:r>
      <w:r>
        <w:rPr>
          <w:rFonts w:asciiTheme="minorHAnsi" w:eastAsiaTheme="minorEastAsia" w:hAnsiTheme="minorHAnsi" w:cstheme="minorBidi"/>
          <w:i w:val="0"/>
          <w:sz w:val="22"/>
          <w:szCs w:val="22"/>
          <w:lang w:eastAsia="fr-FR" w:bidi="ar-SA"/>
        </w:rPr>
        <w:tab/>
      </w:r>
      <w:r>
        <w:t>Motifs d’exclusions</w:t>
      </w:r>
      <w:r>
        <w:tab/>
      </w:r>
      <w:r>
        <w:fldChar w:fldCharType="begin"/>
      </w:r>
      <w:r>
        <w:instrText xml:space="preserve"> PAGEREF _Toc233623659 \h </w:instrText>
      </w:r>
      <w:r>
        <w:fldChar w:fldCharType="separate"/>
      </w:r>
      <w:r>
        <w:t>7</w:t>
      </w:r>
      <w:r>
        <w:fldChar w:fldCharType="end"/>
      </w:r>
    </w:p>
    <w:p w14:paraId="23A24C15" w14:textId="77777777" w:rsidR="00ED1AA7" w:rsidRDefault="00E92B35">
      <w:pPr>
        <w:pStyle w:val="TM3"/>
        <w:tabs>
          <w:tab w:val="left" w:pos="1415"/>
        </w:tabs>
        <w:rPr>
          <w:rFonts w:asciiTheme="minorHAnsi" w:eastAsiaTheme="minorEastAsia" w:hAnsiTheme="minorHAnsi" w:cstheme="minorBidi"/>
          <w:i w:val="0"/>
          <w:sz w:val="22"/>
          <w:szCs w:val="22"/>
          <w:lang w:eastAsia="fr-FR" w:bidi="ar-SA"/>
        </w:rPr>
      </w:pPr>
      <w:r>
        <w:t>5.1.3</w:t>
      </w:r>
      <w:r>
        <w:rPr>
          <w:rFonts w:asciiTheme="minorHAnsi" w:eastAsiaTheme="minorEastAsia" w:hAnsiTheme="minorHAnsi" w:cstheme="minorBidi"/>
          <w:i w:val="0"/>
          <w:sz w:val="22"/>
          <w:szCs w:val="22"/>
          <w:lang w:eastAsia="fr-FR" w:bidi="ar-SA"/>
        </w:rPr>
        <w:tab/>
      </w:r>
      <w:r>
        <w:t>Réponse sous forme groupée</w:t>
      </w:r>
      <w:r>
        <w:tab/>
      </w:r>
      <w:r>
        <w:fldChar w:fldCharType="begin"/>
      </w:r>
      <w:r>
        <w:instrText xml:space="preserve"> PAGEREF _Toc233623660 \h </w:instrText>
      </w:r>
      <w:r>
        <w:fldChar w:fldCharType="separate"/>
      </w:r>
      <w:r>
        <w:t>7</w:t>
      </w:r>
      <w:r>
        <w:fldChar w:fldCharType="end"/>
      </w:r>
    </w:p>
    <w:p w14:paraId="244D8CEF" w14:textId="77777777" w:rsidR="00ED1AA7" w:rsidRDefault="00E92B35">
      <w:pPr>
        <w:pStyle w:val="TM2"/>
        <w:rPr>
          <w:rFonts w:asciiTheme="minorHAnsi" w:eastAsiaTheme="minorEastAsia" w:hAnsiTheme="minorHAnsi" w:cstheme="minorBidi"/>
          <w:sz w:val="22"/>
          <w:szCs w:val="22"/>
          <w:lang w:eastAsia="fr-FR" w:bidi="ar-SA"/>
        </w:rPr>
      </w:pPr>
      <w:r>
        <w:t>5.2 Dossier d'offre</w:t>
      </w:r>
      <w:r>
        <w:tab/>
      </w:r>
      <w:r>
        <w:fldChar w:fldCharType="begin"/>
      </w:r>
      <w:r>
        <w:instrText xml:space="preserve"> PAGEREF _Toc233623661 \h </w:instrText>
      </w:r>
      <w:r>
        <w:fldChar w:fldCharType="separate"/>
      </w:r>
      <w:r>
        <w:t>8</w:t>
      </w:r>
      <w:r>
        <w:fldChar w:fldCharType="end"/>
      </w:r>
    </w:p>
    <w:p w14:paraId="4E24755B" w14:textId="77777777" w:rsidR="00ED1AA7" w:rsidRDefault="00E92B35">
      <w:pPr>
        <w:pStyle w:val="TM2"/>
        <w:rPr>
          <w:rFonts w:asciiTheme="minorHAnsi" w:eastAsiaTheme="minorEastAsia" w:hAnsiTheme="minorHAnsi" w:cstheme="minorBidi"/>
          <w:sz w:val="22"/>
          <w:szCs w:val="22"/>
          <w:lang w:eastAsia="fr-FR" w:bidi="ar-SA"/>
        </w:rPr>
      </w:pPr>
      <w:r>
        <w:t>5.3 Délai de validité des offres</w:t>
      </w:r>
      <w:r>
        <w:tab/>
      </w:r>
      <w:r>
        <w:fldChar w:fldCharType="begin"/>
      </w:r>
      <w:r>
        <w:instrText xml:space="preserve"> PAGEREF _Toc233623662 \h </w:instrText>
      </w:r>
      <w:r>
        <w:fldChar w:fldCharType="separate"/>
      </w:r>
      <w:r>
        <w:t>8</w:t>
      </w:r>
      <w:r>
        <w:fldChar w:fldCharType="end"/>
      </w:r>
    </w:p>
    <w:p w14:paraId="67B6F74D" w14:textId="77777777" w:rsidR="00ED1AA7" w:rsidRDefault="00E92B35">
      <w:pPr>
        <w:pStyle w:val="TM1"/>
        <w:rPr>
          <w:rFonts w:asciiTheme="minorHAnsi" w:eastAsiaTheme="minorEastAsia" w:hAnsiTheme="minorHAnsi" w:cstheme="minorBidi"/>
          <w:b w:val="0"/>
          <w:sz w:val="22"/>
          <w:szCs w:val="22"/>
          <w:lang w:eastAsia="fr-FR" w:bidi="ar-SA"/>
        </w:rPr>
      </w:pPr>
      <w:r>
        <w:t>ARTICLE 6 – REMISE DES PLIS</w:t>
      </w:r>
      <w:r>
        <w:tab/>
      </w:r>
      <w:r>
        <w:fldChar w:fldCharType="begin"/>
      </w:r>
      <w:r>
        <w:instrText xml:space="preserve"> PAGEREF _Toc233623663 \h </w:instrText>
      </w:r>
      <w:r>
        <w:fldChar w:fldCharType="separate"/>
      </w:r>
      <w:r>
        <w:t>8</w:t>
      </w:r>
      <w:r>
        <w:fldChar w:fldCharType="end"/>
      </w:r>
    </w:p>
    <w:p w14:paraId="713A3D9B" w14:textId="77777777" w:rsidR="00ED1AA7" w:rsidRDefault="00E92B35">
      <w:pPr>
        <w:pStyle w:val="TM2"/>
        <w:rPr>
          <w:rFonts w:asciiTheme="minorHAnsi" w:eastAsiaTheme="minorEastAsia" w:hAnsiTheme="minorHAnsi" w:cstheme="minorBidi"/>
          <w:sz w:val="22"/>
          <w:szCs w:val="22"/>
          <w:lang w:eastAsia="fr-FR" w:bidi="ar-SA"/>
        </w:rPr>
      </w:pPr>
      <w:r>
        <w:t>6.1 Date et heure limite de réception des plis</w:t>
      </w:r>
      <w:r>
        <w:tab/>
      </w:r>
      <w:r>
        <w:fldChar w:fldCharType="begin"/>
      </w:r>
      <w:r>
        <w:instrText xml:space="preserve"> PAGEREF _Toc233623664 \h </w:instrText>
      </w:r>
      <w:r>
        <w:fldChar w:fldCharType="separate"/>
      </w:r>
      <w:r>
        <w:t>8</w:t>
      </w:r>
      <w:r>
        <w:fldChar w:fldCharType="end"/>
      </w:r>
    </w:p>
    <w:p w14:paraId="625A4E14" w14:textId="77777777" w:rsidR="00ED1AA7" w:rsidRDefault="00E92B35">
      <w:pPr>
        <w:pStyle w:val="TM2"/>
        <w:rPr>
          <w:rFonts w:asciiTheme="minorHAnsi" w:eastAsiaTheme="minorEastAsia" w:hAnsiTheme="minorHAnsi" w:cstheme="minorBidi"/>
          <w:sz w:val="22"/>
          <w:szCs w:val="22"/>
          <w:lang w:eastAsia="fr-FR" w:bidi="ar-SA"/>
        </w:rPr>
      </w:pPr>
      <w:r>
        <w:t>6.2 Réponse au format papier</w:t>
      </w:r>
      <w:r>
        <w:tab/>
      </w:r>
      <w:r>
        <w:fldChar w:fldCharType="begin"/>
      </w:r>
      <w:r>
        <w:instrText xml:space="preserve"> PAGEREF _Toc233623665 \h </w:instrText>
      </w:r>
      <w:r>
        <w:fldChar w:fldCharType="separate"/>
      </w:r>
      <w:r>
        <w:t>9</w:t>
      </w:r>
      <w:r>
        <w:fldChar w:fldCharType="end"/>
      </w:r>
    </w:p>
    <w:p w14:paraId="3D724F53" w14:textId="77777777" w:rsidR="00ED1AA7" w:rsidRDefault="00E92B35">
      <w:pPr>
        <w:pStyle w:val="TM2"/>
        <w:rPr>
          <w:rFonts w:asciiTheme="minorHAnsi" w:eastAsiaTheme="minorEastAsia" w:hAnsiTheme="minorHAnsi" w:cstheme="minorBidi"/>
          <w:sz w:val="22"/>
          <w:szCs w:val="22"/>
          <w:lang w:eastAsia="fr-FR" w:bidi="ar-SA"/>
        </w:rPr>
      </w:pPr>
      <w:r>
        <w:t>6.3 Réponse au format dématérialisé</w:t>
      </w:r>
      <w:r>
        <w:tab/>
      </w:r>
      <w:r>
        <w:fldChar w:fldCharType="begin"/>
      </w:r>
      <w:r>
        <w:instrText xml:space="preserve"> PAGEREF _Toc233623666 \h </w:instrText>
      </w:r>
      <w:r>
        <w:fldChar w:fldCharType="separate"/>
      </w:r>
      <w:r>
        <w:t>9</w:t>
      </w:r>
      <w:r>
        <w:fldChar w:fldCharType="end"/>
      </w:r>
    </w:p>
    <w:p w14:paraId="6559F8DE" w14:textId="77777777" w:rsidR="00ED1AA7" w:rsidRDefault="00E92B35">
      <w:pPr>
        <w:pStyle w:val="TM1"/>
        <w:rPr>
          <w:rFonts w:asciiTheme="minorHAnsi" w:eastAsiaTheme="minorEastAsia" w:hAnsiTheme="minorHAnsi" w:cstheme="minorBidi"/>
          <w:b w:val="0"/>
          <w:sz w:val="22"/>
          <w:szCs w:val="22"/>
          <w:lang w:eastAsia="fr-FR" w:bidi="ar-SA"/>
        </w:rPr>
      </w:pPr>
      <w:r>
        <w:t>ARTICLE 7 – EXAMEN DES CANDIDATURES ET DES OFFRES</w:t>
      </w:r>
      <w:r>
        <w:tab/>
      </w:r>
      <w:r>
        <w:fldChar w:fldCharType="begin"/>
      </w:r>
      <w:r>
        <w:instrText xml:space="preserve"> PAGEREF _Toc233623667 \h </w:instrText>
      </w:r>
      <w:r>
        <w:fldChar w:fldCharType="separate"/>
      </w:r>
      <w:r>
        <w:t>10</w:t>
      </w:r>
      <w:r>
        <w:fldChar w:fldCharType="end"/>
      </w:r>
    </w:p>
    <w:p w14:paraId="47AD550F" w14:textId="77777777" w:rsidR="00ED1AA7" w:rsidRDefault="00E92B35">
      <w:pPr>
        <w:pStyle w:val="TM2"/>
        <w:rPr>
          <w:rFonts w:asciiTheme="minorHAnsi" w:eastAsiaTheme="minorEastAsia" w:hAnsiTheme="minorHAnsi" w:cstheme="minorBidi"/>
          <w:sz w:val="22"/>
          <w:szCs w:val="22"/>
          <w:lang w:eastAsia="fr-FR" w:bidi="ar-SA"/>
        </w:rPr>
      </w:pPr>
      <w:r>
        <w:t>7.1 Sélection des candidatures</w:t>
      </w:r>
      <w:r>
        <w:tab/>
      </w:r>
      <w:r>
        <w:fldChar w:fldCharType="begin"/>
      </w:r>
      <w:r>
        <w:instrText xml:space="preserve"> PAGEREF _Toc233623668 \h </w:instrText>
      </w:r>
      <w:r>
        <w:fldChar w:fldCharType="separate"/>
      </w:r>
      <w:r>
        <w:t>10</w:t>
      </w:r>
      <w:r>
        <w:fldChar w:fldCharType="end"/>
      </w:r>
    </w:p>
    <w:p w14:paraId="5FA4F651" w14:textId="77777777" w:rsidR="00ED1AA7" w:rsidRDefault="00E92B35">
      <w:pPr>
        <w:pStyle w:val="TM2"/>
        <w:rPr>
          <w:rFonts w:asciiTheme="minorHAnsi" w:eastAsiaTheme="minorEastAsia" w:hAnsiTheme="minorHAnsi" w:cstheme="minorBidi"/>
          <w:sz w:val="22"/>
          <w:szCs w:val="22"/>
          <w:lang w:eastAsia="fr-FR" w:bidi="ar-SA"/>
        </w:rPr>
      </w:pPr>
      <w:r>
        <w:t>7.2 Critères de sélection des offres</w:t>
      </w:r>
      <w:r>
        <w:tab/>
      </w:r>
      <w:r>
        <w:fldChar w:fldCharType="begin"/>
      </w:r>
      <w:r>
        <w:instrText xml:space="preserve"> PAGEREF _Toc233623669 \h </w:instrText>
      </w:r>
      <w:r>
        <w:fldChar w:fldCharType="separate"/>
      </w:r>
      <w:r>
        <w:t>10</w:t>
      </w:r>
      <w:r>
        <w:fldChar w:fldCharType="end"/>
      </w:r>
    </w:p>
    <w:p w14:paraId="568A6168" w14:textId="63A433BF" w:rsidR="00ED1AA7" w:rsidRDefault="00E92B35">
      <w:pPr>
        <w:pStyle w:val="TM2"/>
        <w:rPr>
          <w:rFonts w:asciiTheme="minorHAnsi" w:eastAsiaTheme="minorEastAsia" w:hAnsiTheme="minorHAnsi" w:cstheme="minorBidi"/>
          <w:sz w:val="22"/>
          <w:szCs w:val="22"/>
          <w:lang w:eastAsia="fr-FR" w:bidi="ar-SA"/>
        </w:rPr>
      </w:pPr>
      <w:r>
        <w:t>7.3 Demande de renseignements complémentaires</w:t>
      </w:r>
      <w:r>
        <w:tab/>
      </w:r>
      <w:r>
        <w:fldChar w:fldCharType="begin"/>
      </w:r>
      <w:r>
        <w:instrText xml:space="preserve"> PAGEREF _Toc233623670 \h </w:instrText>
      </w:r>
      <w:r>
        <w:fldChar w:fldCharType="separate"/>
      </w:r>
      <w:r>
        <w:t>10</w:t>
      </w:r>
      <w:r>
        <w:fldChar w:fldCharType="end"/>
      </w:r>
    </w:p>
    <w:p w14:paraId="15C7C6C6" w14:textId="77777777" w:rsidR="00ED1AA7" w:rsidRDefault="00E92B35">
      <w:pPr>
        <w:pStyle w:val="TM1"/>
        <w:rPr>
          <w:rFonts w:asciiTheme="minorHAnsi" w:eastAsiaTheme="minorEastAsia" w:hAnsiTheme="minorHAnsi" w:cstheme="minorBidi"/>
          <w:b w:val="0"/>
          <w:sz w:val="22"/>
          <w:szCs w:val="22"/>
          <w:lang w:eastAsia="fr-FR" w:bidi="ar-SA"/>
        </w:rPr>
      </w:pPr>
      <w:r>
        <w:t>ARTICLE 8 – NÉGOCIATION</w:t>
      </w:r>
      <w:r>
        <w:tab/>
      </w:r>
      <w:r>
        <w:fldChar w:fldCharType="begin"/>
      </w:r>
      <w:r>
        <w:instrText xml:space="preserve"> PAGEREF _Toc233623671 \h </w:instrText>
      </w:r>
      <w:r>
        <w:fldChar w:fldCharType="separate"/>
      </w:r>
      <w:r>
        <w:t>10</w:t>
      </w:r>
      <w:r>
        <w:fldChar w:fldCharType="end"/>
      </w:r>
    </w:p>
    <w:p w14:paraId="2C21544D" w14:textId="77777777" w:rsidR="00ED1AA7" w:rsidRDefault="00E92B35">
      <w:pPr>
        <w:pStyle w:val="TM1"/>
        <w:rPr>
          <w:rFonts w:asciiTheme="minorHAnsi" w:eastAsiaTheme="minorEastAsia" w:hAnsiTheme="minorHAnsi" w:cstheme="minorBidi"/>
          <w:b w:val="0"/>
          <w:sz w:val="22"/>
          <w:szCs w:val="22"/>
          <w:lang w:eastAsia="fr-FR" w:bidi="ar-SA"/>
        </w:rPr>
      </w:pPr>
      <w:r>
        <w:t>ARTICLE 9 – PIÈCES À FOURNIR PAR L’ATTRIBUTAIRE PRESSENTI</w:t>
      </w:r>
      <w:r>
        <w:tab/>
      </w:r>
      <w:r>
        <w:fldChar w:fldCharType="begin"/>
      </w:r>
      <w:r>
        <w:instrText xml:space="preserve"> PAGEREF _Toc233623672 \h </w:instrText>
      </w:r>
      <w:r>
        <w:fldChar w:fldCharType="separate"/>
      </w:r>
      <w:r>
        <w:t>11</w:t>
      </w:r>
      <w:r>
        <w:fldChar w:fldCharType="end"/>
      </w:r>
    </w:p>
    <w:p w14:paraId="4C8E1EA6" w14:textId="312BD277" w:rsidR="00ED1AA7" w:rsidRDefault="00E92B35">
      <w:pPr>
        <w:pStyle w:val="TM1"/>
        <w:rPr>
          <w:rFonts w:cs="Arial"/>
          <w:szCs w:val="20"/>
        </w:rPr>
      </w:pPr>
      <w:r>
        <w:fldChar w:fldCharType="end"/>
      </w:r>
    </w:p>
    <w:p w14:paraId="62B8755E" w14:textId="77777777" w:rsidR="00ED1AA7" w:rsidRDefault="00ED1AA7">
      <w:pPr>
        <w:widowControl/>
        <w:tabs>
          <w:tab w:val="left" w:pos="0"/>
        </w:tabs>
        <w:rPr>
          <w:rFonts w:cs="Arial"/>
          <w:szCs w:val="20"/>
        </w:rPr>
      </w:pPr>
    </w:p>
    <w:p w14:paraId="597B958D" w14:textId="77777777" w:rsidR="00ED1AA7" w:rsidRDefault="00ED1AA7">
      <w:pPr>
        <w:widowControl/>
        <w:tabs>
          <w:tab w:val="left" w:pos="0"/>
        </w:tabs>
        <w:rPr>
          <w:rFonts w:cs="Arial"/>
          <w:szCs w:val="20"/>
        </w:rPr>
      </w:pPr>
    </w:p>
    <w:p w14:paraId="7935DC25" w14:textId="77777777" w:rsidR="00ED1AA7" w:rsidRDefault="00ED1AA7">
      <w:pPr>
        <w:widowControl/>
        <w:tabs>
          <w:tab w:val="left" w:pos="0"/>
        </w:tabs>
        <w:rPr>
          <w:rFonts w:cs="Arial"/>
          <w:szCs w:val="20"/>
        </w:rPr>
      </w:pPr>
    </w:p>
    <w:p w14:paraId="224B6B22" w14:textId="77777777" w:rsidR="00ED1AA7" w:rsidRDefault="00ED1AA7">
      <w:pPr>
        <w:widowControl/>
        <w:tabs>
          <w:tab w:val="left" w:pos="0"/>
        </w:tabs>
        <w:rPr>
          <w:rFonts w:cs="Arial"/>
          <w:szCs w:val="20"/>
        </w:rPr>
      </w:pPr>
    </w:p>
    <w:p w14:paraId="4259BC36" w14:textId="77777777" w:rsidR="00ED1AA7" w:rsidRDefault="00ED1AA7">
      <w:pPr>
        <w:widowControl/>
        <w:tabs>
          <w:tab w:val="left" w:pos="0"/>
        </w:tabs>
        <w:rPr>
          <w:rFonts w:cs="Arial"/>
          <w:szCs w:val="20"/>
        </w:rPr>
      </w:pPr>
    </w:p>
    <w:p w14:paraId="07963AB0" w14:textId="77777777" w:rsidR="00ED1AA7" w:rsidRDefault="00ED1AA7">
      <w:pPr>
        <w:widowControl/>
        <w:tabs>
          <w:tab w:val="left" w:pos="0"/>
        </w:tabs>
        <w:rPr>
          <w:rFonts w:cs="Arial"/>
          <w:szCs w:val="20"/>
        </w:rPr>
      </w:pPr>
    </w:p>
    <w:p w14:paraId="295627F6" w14:textId="77777777" w:rsidR="00ED1AA7" w:rsidRDefault="00ED1AA7">
      <w:pPr>
        <w:widowControl/>
        <w:tabs>
          <w:tab w:val="left" w:pos="0"/>
        </w:tabs>
        <w:rPr>
          <w:rFonts w:cs="Arial"/>
          <w:szCs w:val="20"/>
        </w:rPr>
      </w:pPr>
    </w:p>
    <w:p w14:paraId="6947E0C8" w14:textId="77777777" w:rsidR="00ED1AA7" w:rsidRDefault="00ED1AA7">
      <w:pPr>
        <w:widowControl/>
        <w:tabs>
          <w:tab w:val="left" w:pos="0"/>
        </w:tabs>
        <w:rPr>
          <w:rFonts w:cs="Arial"/>
          <w:szCs w:val="20"/>
        </w:rPr>
      </w:pPr>
    </w:p>
    <w:p w14:paraId="05873F63" w14:textId="77777777" w:rsidR="00ED1AA7" w:rsidRDefault="00ED1AA7">
      <w:pPr>
        <w:widowControl/>
        <w:tabs>
          <w:tab w:val="left" w:pos="0"/>
        </w:tabs>
        <w:rPr>
          <w:rFonts w:cs="Arial"/>
          <w:szCs w:val="20"/>
        </w:rPr>
      </w:pPr>
    </w:p>
    <w:p w14:paraId="30976D91" w14:textId="77777777" w:rsidR="00ED1AA7" w:rsidRDefault="00ED1AA7">
      <w:pPr>
        <w:widowControl/>
        <w:tabs>
          <w:tab w:val="left" w:pos="0"/>
        </w:tabs>
        <w:rPr>
          <w:rFonts w:cs="Arial"/>
          <w:szCs w:val="20"/>
        </w:rPr>
      </w:pPr>
    </w:p>
    <w:p w14:paraId="3C531AC9" w14:textId="77777777" w:rsidR="00ED1AA7" w:rsidRDefault="00ED1AA7">
      <w:pPr>
        <w:widowControl/>
        <w:tabs>
          <w:tab w:val="left" w:pos="0"/>
        </w:tabs>
        <w:rPr>
          <w:rFonts w:cs="Arial"/>
          <w:szCs w:val="20"/>
        </w:rPr>
      </w:pPr>
    </w:p>
    <w:p w14:paraId="747654D9" w14:textId="77777777" w:rsidR="00ED1AA7" w:rsidRDefault="00ED1AA7">
      <w:pPr>
        <w:widowControl/>
        <w:tabs>
          <w:tab w:val="left" w:pos="0"/>
        </w:tabs>
        <w:rPr>
          <w:rFonts w:cs="Arial"/>
          <w:szCs w:val="20"/>
        </w:rPr>
      </w:pPr>
    </w:p>
    <w:p w14:paraId="75252C78" w14:textId="77777777" w:rsidR="00ED1AA7" w:rsidRDefault="00ED1AA7">
      <w:pPr>
        <w:widowControl/>
        <w:tabs>
          <w:tab w:val="left" w:pos="0"/>
        </w:tabs>
        <w:rPr>
          <w:rFonts w:cs="Arial"/>
          <w:szCs w:val="20"/>
        </w:rPr>
      </w:pPr>
    </w:p>
    <w:p w14:paraId="2DA71023" w14:textId="77777777" w:rsidR="00ED1AA7" w:rsidRDefault="00E92B35">
      <w:pPr>
        <w:pStyle w:val="Titre1"/>
        <w:pageBreakBefore/>
      </w:pPr>
      <w:bookmarkStart w:id="0" w:name="_Toc233623640"/>
      <w:r>
        <w:lastRenderedPageBreak/>
        <w:t>ARTICLE 1 – ACHETEUR</w:t>
      </w:r>
      <w:bookmarkEnd w:id="0"/>
    </w:p>
    <w:p w14:paraId="7D22DA04" w14:textId="77777777" w:rsidR="00ED1AA7" w:rsidRDefault="00ED1AA7">
      <w:pPr>
        <w:widowControl/>
      </w:pPr>
    </w:p>
    <w:p w14:paraId="3D12BA59" w14:textId="77777777" w:rsidR="00ED1AA7" w:rsidRDefault="00E92B35">
      <w:pPr>
        <w:widowControl/>
      </w:pPr>
      <w:r>
        <w:t>L’acheteur est :</w:t>
      </w:r>
    </w:p>
    <w:p w14:paraId="1283BB95" w14:textId="77777777" w:rsidR="00ED1AA7" w:rsidRDefault="00ED1AA7">
      <w:pPr>
        <w:widowControl/>
      </w:pPr>
    </w:p>
    <w:p w14:paraId="01106DFA" w14:textId="77777777" w:rsidR="00ED1AA7" w:rsidRDefault="00E92B35">
      <w:pPr>
        <w:widowControl/>
        <w:numPr>
          <w:ilvl w:val="0"/>
          <w:numId w:val="1"/>
        </w:numPr>
        <w:rPr>
          <w:rFonts w:cs="Arial"/>
          <w:b/>
        </w:rPr>
      </w:pPr>
      <w:r>
        <w:rPr>
          <w:rFonts w:cs="Arial"/>
          <w:b/>
        </w:rPr>
        <w:t>Paris Ouest La Défense</w:t>
      </w:r>
    </w:p>
    <w:p w14:paraId="6E57B270" w14:textId="77777777" w:rsidR="00ED1AA7" w:rsidRDefault="00E92B35">
      <w:pPr>
        <w:widowControl/>
        <w:numPr>
          <w:ilvl w:val="0"/>
          <w:numId w:val="1"/>
        </w:numPr>
        <w:rPr>
          <w:rFonts w:cs="Arial"/>
        </w:rPr>
      </w:pPr>
      <w:r>
        <w:rPr>
          <w:rFonts w:cs="Arial"/>
          <w:b/>
        </w:rPr>
        <w:t>Établissement public territorial</w:t>
      </w:r>
    </w:p>
    <w:p w14:paraId="356554E1" w14:textId="77777777" w:rsidR="00ED1AA7" w:rsidRDefault="00E92B35">
      <w:pPr>
        <w:rPr>
          <w:rFonts w:cs="Arial"/>
          <w:shd w:val="clear" w:color="auto" w:fill="FFFFFF"/>
        </w:rPr>
      </w:pPr>
      <w:r>
        <w:rPr>
          <w:rFonts w:cs="Arial"/>
          <w:shd w:val="clear" w:color="auto" w:fill="FFFFFF"/>
        </w:rPr>
        <w:t>1 place du 27 mars 2002</w:t>
      </w:r>
    </w:p>
    <w:p w14:paraId="0B761355" w14:textId="77777777" w:rsidR="00ED1AA7" w:rsidRDefault="00E92B35">
      <w:pPr>
        <w:rPr>
          <w:rFonts w:cs="Arial"/>
          <w:shd w:val="clear" w:color="auto" w:fill="FFFFFF"/>
        </w:rPr>
      </w:pPr>
      <w:r>
        <w:rPr>
          <w:rFonts w:cs="Arial"/>
          <w:shd w:val="clear" w:color="auto" w:fill="FFFFFF"/>
        </w:rPr>
        <w:t>92000 NANTERRE</w:t>
      </w:r>
    </w:p>
    <w:p w14:paraId="4BD06451" w14:textId="77777777" w:rsidR="00ED1AA7" w:rsidRDefault="007A7A93">
      <w:pPr>
        <w:rPr>
          <w:rFonts w:cs="Arial"/>
          <w:shd w:val="clear" w:color="auto" w:fill="FFFFFF"/>
        </w:rPr>
      </w:pPr>
      <w:hyperlink r:id="rId14" w:tooltip="http://www.pold.fr" w:history="1">
        <w:r w:rsidR="00E92B35">
          <w:rPr>
            <w:rFonts w:cs="Arial"/>
            <w:shd w:val="clear" w:color="auto" w:fill="FFFFFF"/>
          </w:rPr>
          <w:t>http://www.pold.fr</w:t>
        </w:r>
      </w:hyperlink>
    </w:p>
    <w:p w14:paraId="14A5595C" w14:textId="77777777" w:rsidR="00ED1AA7" w:rsidRDefault="00ED1AA7">
      <w:pPr>
        <w:widowControl/>
        <w:numPr>
          <w:ilvl w:val="0"/>
          <w:numId w:val="1"/>
        </w:numPr>
        <w:rPr>
          <w:rFonts w:cs="Arial"/>
          <w:color w:val="FF0000"/>
          <w:shd w:val="clear" w:color="auto" w:fill="FFFFFF"/>
        </w:rPr>
      </w:pPr>
    </w:p>
    <w:p w14:paraId="2661E169" w14:textId="77777777" w:rsidR="00ED1AA7" w:rsidRDefault="00E92B35">
      <w:pPr>
        <w:widowControl/>
        <w:numPr>
          <w:ilvl w:val="0"/>
          <w:numId w:val="1"/>
        </w:numPr>
        <w:rPr>
          <w:rFonts w:cs="Arial"/>
          <w:shd w:val="clear" w:color="auto" w:fill="FFFFFF"/>
        </w:rPr>
      </w:pPr>
      <w:r>
        <w:rPr>
          <w:rFonts w:cs="Arial"/>
          <w:shd w:val="clear" w:color="auto" w:fill="FFFFFF"/>
        </w:rPr>
        <w:t>Service support de la Commande publique</w:t>
      </w:r>
    </w:p>
    <w:p w14:paraId="14113B76" w14:textId="77777777" w:rsidR="00ED1AA7" w:rsidRDefault="00E92B35">
      <w:pPr>
        <w:widowControl/>
        <w:numPr>
          <w:ilvl w:val="0"/>
          <w:numId w:val="1"/>
        </w:numPr>
        <w:rPr>
          <w:rFonts w:cs="Arial"/>
          <w:shd w:val="clear" w:color="auto" w:fill="FFFFFF"/>
        </w:rPr>
      </w:pPr>
      <w:r>
        <w:rPr>
          <w:rFonts w:cs="Arial"/>
          <w:shd w:val="clear" w:color="auto" w:fill="FFFFFF"/>
        </w:rPr>
        <w:t>Hôtel de Ville de Rueil-Malmaison</w:t>
      </w:r>
    </w:p>
    <w:p w14:paraId="7422C7D3" w14:textId="77777777" w:rsidR="00ED1AA7" w:rsidRDefault="00E92B35">
      <w:pPr>
        <w:widowControl/>
        <w:numPr>
          <w:ilvl w:val="0"/>
          <w:numId w:val="1"/>
        </w:numPr>
        <w:rPr>
          <w:rFonts w:cs="Arial"/>
          <w:shd w:val="clear" w:color="auto" w:fill="FFFFFF"/>
        </w:rPr>
      </w:pPr>
      <w:r>
        <w:rPr>
          <w:rFonts w:cs="Arial"/>
          <w:shd w:val="clear" w:color="auto" w:fill="FFFFFF"/>
        </w:rPr>
        <w:t>13 boulevard du Maréchal Foch</w:t>
      </w:r>
    </w:p>
    <w:p w14:paraId="7558DF10" w14:textId="77777777" w:rsidR="00ED1AA7" w:rsidRDefault="00E92B35">
      <w:pPr>
        <w:widowControl/>
        <w:numPr>
          <w:ilvl w:val="0"/>
          <w:numId w:val="1"/>
        </w:numPr>
        <w:rPr>
          <w:rFonts w:cs="Arial"/>
          <w:shd w:val="clear" w:color="auto" w:fill="FFFFFF"/>
        </w:rPr>
      </w:pPr>
      <w:r>
        <w:rPr>
          <w:rFonts w:cs="Arial"/>
          <w:shd w:val="clear" w:color="auto" w:fill="FFFFFF"/>
        </w:rPr>
        <w:t>92501 RUEIL-MALMAISON CEDEX</w:t>
      </w:r>
    </w:p>
    <w:p w14:paraId="57B8C914" w14:textId="13F09AC8" w:rsidR="00ED1AA7" w:rsidRDefault="00E92B35">
      <w:pPr>
        <w:widowControl/>
        <w:numPr>
          <w:ilvl w:val="0"/>
          <w:numId w:val="1"/>
        </w:numPr>
        <w:rPr>
          <w:rFonts w:cs="Arial"/>
          <w:shd w:val="clear" w:color="auto" w:fill="FFFFFF"/>
        </w:rPr>
      </w:pPr>
      <w:r>
        <w:rPr>
          <w:rFonts w:cs="Arial"/>
          <w:shd w:val="clear" w:color="auto" w:fill="FFFFFF"/>
        </w:rPr>
        <w:t>Tél : 01 47 32 57 02 / Fax : 01 47 32 66 08</w:t>
      </w:r>
    </w:p>
    <w:p w14:paraId="524B48B3" w14:textId="77777777" w:rsidR="00ED1AA7" w:rsidRDefault="00ED1AA7">
      <w:pPr>
        <w:widowControl/>
      </w:pPr>
    </w:p>
    <w:p w14:paraId="7E88E5BE" w14:textId="77777777" w:rsidR="007E1A5C" w:rsidRDefault="007E1A5C">
      <w:pPr>
        <w:widowControl/>
      </w:pPr>
    </w:p>
    <w:p w14:paraId="47FDDD44" w14:textId="706E2D92" w:rsidR="00ED1AA7" w:rsidRDefault="00E92B35">
      <w:pPr>
        <w:pStyle w:val="Titre1"/>
      </w:pPr>
      <w:bookmarkStart w:id="1" w:name="_Toc233623641"/>
      <w:r>
        <w:t>ARTICLE 2 – OBJET DU CONTRAT – DISPOSITIONS GÉNÉRALES</w:t>
      </w:r>
      <w:bookmarkEnd w:id="1"/>
    </w:p>
    <w:p w14:paraId="711E55DD" w14:textId="77777777" w:rsidR="00ED1AA7" w:rsidRDefault="00ED1AA7">
      <w:pPr>
        <w:widowControl/>
      </w:pPr>
    </w:p>
    <w:p w14:paraId="33D0E929" w14:textId="61243CFF" w:rsidR="00ED1AA7" w:rsidRDefault="00E92B35">
      <w:pPr>
        <w:pStyle w:val="Titre2"/>
        <w:widowControl/>
      </w:pPr>
      <w:bookmarkStart w:id="2" w:name="_Toc233623642"/>
      <w:r>
        <w:t>2.1 Objet du contrat</w:t>
      </w:r>
      <w:bookmarkEnd w:id="2"/>
    </w:p>
    <w:p w14:paraId="708D96B2" w14:textId="77777777" w:rsidR="00ED1AA7" w:rsidRDefault="00ED1AA7">
      <w:pPr>
        <w:widowControl/>
      </w:pPr>
    </w:p>
    <w:p w14:paraId="07FC3820" w14:textId="77777777" w:rsidR="00E92B35" w:rsidRDefault="00E92B35" w:rsidP="00E92B35">
      <w:r>
        <w:t>Le présent contrat a pour objet la réalisation d'une étude de sobriété hydrique portant sur l'ensemble du patrimoine intercommunal, tant bâti (bâtiments des communes du territoire) que non bâti (espace public, usages dans l’espace public) et des usages de l'eau de l'Établissement public territorial Paris Ouest La Défense.</w:t>
      </w:r>
    </w:p>
    <w:p w14:paraId="2853EE82" w14:textId="77777777" w:rsidR="00ED1AA7" w:rsidRDefault="00ED1AA7">
      <w:pPr>
        <w:widowControl/>
        <w:rPr>
          <w:b/>
          <w:bCs/>
        </w:rPr>
      </w:pPr>
    </w:p>
    <w:p w14:paraId="36F1CAFE" w14:textId="369EC502" w:rsidR="00ED1AA7" w:rsidRDefault="00E92B35">
      <w:pPr>
        <w:pStyle w:val="Titre2"/>
        <w:widowControl/>
      </w:pPr>
      <w:bookmarkStart w:id="3" w:name="_Toc233623643"/>
      <w:r>
        <w:t>2.2 Nature et forme du contrat</w:t>
      </w:r>
      <w:bookmarkEnd w:id="3"/>
    </w:p>
    <w:p w14:paraId="750553FA" w14:textId="77777777" w:rsidR="00ED1AA7" w:rsidRDefault="00ED1AA7">
      <w:pPr>
        <w:widowControl/>
      </w:pPr>
    </w:p>
    <w:p w14:paraId="1C66ACD2" w14:textId="5B543204" w:rsidR="00E92B35" w:rsidRDefault="00E92B35" w:rsidP="00E92B35">
      <w:r>
        <w:t xml:space="preserve">Le contrat porte sur des prestations de services. Il est passé selon </w:t>
      </w:r>
      <w:r w:rsidRPr="00FD0B1D">
        <w:t xml:space="preserve">une procédure adaptée, en application des articles L.2123-1 et R.2123-1 </w:t>
      </w:r>
      <w:r>
        <w:t xml:space="preserve">du code de la Commande publique. Le cahier des clauses administratives générales (CCAG) de référence est le CCAG/PI applicable aux marchés publics de </w:t>
      </w:r>
      <w:r w:rsidR="007E1A5C">
        <w:t xml:space="preserve">prestations intellectuelles </w:t>
      </w:r>
      <w:r>
        <w:t>issu de l'arrêté du 30/03/2021 (JO du 01/04/2021).</w:t>
      </w:r>
    </w:p>
    <w:p w14:paraId="2A00A332" w14:textId="77777777" w:rsidR="00E92B35" w:rsidRDefault="00E92B35" w:rsidP="00E92B35"/>
    <w:p w14:paraId="760A9DF6" w14:textId="11E8E6A9" w:rsidR="007E1A5C" w:rsidRDefault="00E92B35" w:rsidP="00E92B35">
      <w:pPr>
        <w:spacing w:line="200" w:lineRule="atLeast"/>
        <w:rPr>
          <w:rFonts w:cs="Arial"/>
          <w:szCs w:val="20"/>
        </w:rPr>
      </w:pPr>
      <w:r>
        <w:rPr>
          <w:rFonts w:cs="Arial"/>
          <w:szCs w:val="20"/>
        </w:rPr>
        <w:t xml:space="preserve">Les prestations sont </w:t>
      </w:r>
      <w:r w:rsidRPr="002001DD">
        <w:rPr>
          <w:rFonts w:cs="Arial"/>
          <w:szCs w:val="20"/>
        </w:rPr>
        <w:t>réalisées</w:t>
      </w:r>
      <w:r w:rsidRPr="00390707">
        <w:rPr>
          <w:rFonts w:cs="Arial"/>
          <w:color w:val="FF0000"/>
          <w:szCs w:val="20"/>
        </w:rPr>
        <w:t xml:space="preserve"> </w:t>
      </w:r>
      <w:r>
        <w:rPr>
          <w:rFonts w:cs="Arial"/>
          <w:szCs w:val="20"/>
        </w:rPr>
        <w:t xml:space="preserve">dans le cadre d’un accord-cadre monoattributaire qui s’exécute par bons de commandes, </w:t>
      </w:r>
      <w:r w:rsidR="007E1A5C">
        <w:rPr>
          <w:rFonts w:cs="Arial"/>
          <w:szCs w:val="20"/>
        </w:rPr>
        <w:t>qui comporte :</w:t>
      </w:r>
    </w:p>
    <w:p w14:paraId="044C1663" w14:textId="28131454" w:rsidR="007E1A5C" w:rsidRDefault="00C3152C" w:rsidP="008F7EC5">
      <w:pPr>
        <w:pStyle w:val="Paragraphedeliste"/>
        <w:numPr>
          <w:ilvl w:val="0"/>
          <w:numId w:val="15"/>
        </w:numPr>
        <w:spacing w:line="200" w:lineRule="atLeast"/>
        <w:rPr>
          <w:rFonts w:cs="Arial"/>
          <w:szCs w:val="20"/>
        </w:rPr>
      </w:pPr>
      <w:r>
        <w:rPr>
          <w:rFonts w:cs="Arial"/>
          <w:szCs w:val="20"/>
        </w:rPr>
        <w:t>u</w:t>
      </w:r>
      <w:r w:rsidR="007E1A5C">
        <w:rPr>
          <w:rFonts w:cs="Arial"/>
          <w:szCs w:val="20"/>
        </w:rPr>
        <w:t>ne partie à prix global et forfaitaire, indiqué dans l’acte d’engagement et détaillé</w:t>
      </w:r>
      <w:r w:rsidR="00E92B35" w:rsidRPr="007E1A5C">
        <w:rPr>
          <w:rFonts w:cs="Arial"/>
          <w:szCs w:val="20"/>
        </w:rPr>
        <w:t xml:space="preserve"> dans le la décomposition globale et forfaitaire (DPGF)</w:t>
      </w:r>
      <w:r w:rsidR="007E1A5C">
        <w:rPr>
          <w:rFonts w:cs="Arial"/>
          <w:szCs w:val="20"/>
        </w:rPr>
        <w:t xml:space="preserve">, relative à </w:t>
      </w:r>
      <w:r w:rsidR="007842A6">
        <w:rPr>
          <w:rFonts w:cs="Arial"/>
          <w:szCs w:val="20"/>
        </w:rPr>
        <w:t>l’étude « plan de sobriété ».</w:t>
      </w:r>
    </w:p>
    <w:p w14:paraId="1A0ABF65" w14:textId="3EDE9E7B" w:rsidR="007E1A5C" w:rsidRPr="007842A6" w:rsidRDefault="007E1A5C" w:rsidP="007842A6">
      <w:pPr>
        <w:pStyle w:val="Paragraphedeliste"/>
        <w:numPr>
          <w:ilvl w:val="0"/>
          <w:numId w:val="15"/>
        </w:numPr>
        <w:spacing w:line="200" w:lineRule="atLeast"/>
        <w:rPr>
          <w:rFonts w:cs="Arial"/>
          <w:szCs w:val="20"/>
        </w:rPr>
      </w:pPr>
      <w:r>
        <w:rPr>
          <w:rFonts w:cs="Arial"/>
          <w:szCs w:val="20"/>
        </w:rPr>
        <w:t>une partie à prix unitaires, qui s’exécute par bons de commande conformément aux prix indiqués</w:t>
      </w:r>
      <w:r w:rsidR="00E92B35" w:rsidRPr="007E1A5C">
        <w:rPr>
          <w:rFonts w:cs="Arial"/>
          <w:szCs w:val="20"/>
        </w:rPr>
        <w:t xml:space="preserve"> dans le bordereau des prix unitaires (BPU)</w:t>
      </w:r>
      <w:r w:rsidR="00E92B35" w:rsidRPr="00390707">
        <w:t xml:space="preserve"> </w:t>
      </w:r>
      <w:r w:rsidR="007842A6">
        <w:rPr>
          <w:rFonts w:cs="Arial"/>
          <w:szCs w:val="20"/>
        </w:rPr>
        <w:t xml:space="preserve">relative aux éventuelles réunions supplémentaires et aux visites éventuelles des 11 communes. </w:t>
      </w:r>
    </w:p>
    <w:p w14:paraId="1C85A139" w14:textId="77777777" w:rsidR="007E1A5C" w:rsidRDefault="007E1A5C" w:rsidP="007E1A5C">
      <w:pPr>
        <w:spacing w:line="200" w:lineRule="atLeast"/>
      </w:pPr>
    </w:p>
    <w:p w14:paraId="758183C3" w14:textId="1EB0EF0C" w:rsidR="00E92B35" w:rsidRDefault="007E1A5C" w:rsidP="007E1A5C">
      <w:pPr>
        <w:spacing w:line="200" w:lineRule="atLeast"/>
        <w:rPr>
          <w:rFonts w:cs="Arial"/>
          <w:szCs w:val="20"/>
        </w:rPr>
      </w:pPr>
      <w:r>
        <w:t xml:space="preserve">Le </w:t>
      </w:r>
      <w:r w:rsidR="00E92B35" w:rsidRPr="00390707">
        <w:t xml:space="preserve">contrat </w:t>
      </w:r>
      <w:r>
        <w:rPr>
          <w:rFonts w:cs="Arial"/>
          <w:szCs w:val="20"/>
        </w:rPr>
        <w:t>comprend</w:t>
      </w:r>
      <w:r w:rsidR="00E92B35" w:rsidRPr="007E1A5C">
        <w:rPr>
          <w:rFonts w:cs="Arial"/>
          <w:szCs w:val="20"/>
        </w:rPr>
        <w:t xml:space="preserve"> </w:t>
      </w:r>
      <w:r w:rsidR="00C3152C">
        <w:rPr>
          <w:rFonts w:cs="Arial"/>
          <w:szCs w:val="20"/>
        </w:rPr>
        <w:t>trois</w:t>
      </w:r>
      <w:r w:rsidR="00E92B35" w:rsidRPr="007E1A5C">
        <w:rPr>
          <w:rFonts w:cs="Arial"/>
          <w:szCs w:val="20"/>
        </w:rPr>
        <w:t xml:space="preserve"> phases</w:t>
      </w:r>
      <w:r>
        <w:rPr>
          <w:rFonts w:cs="Arial"/>
          <w:szCs w:val="20"/>
        </w:rPr>
        <w:t> :</w:t>
      </w:r>
    </w:p>
    <w:p w14:paraId="7BE81EF0" w14:textId="667842B9" w:rsidR="007E1A5C" w:rsidRDefault="007E1A5C" w:rsidP="008F7EC5">
      <w:pPr>
        <w:pStyle w:val="Paragraphedeliste"/>
        <w:numPr>
          <w:ilvl w:val="0"/>
          <w:numId w:val="15"/>
        </w:numPr>
        <w:spacing w:line="200" w:lineRule="atLeast"/>
        <w:rPr>
          <w:rFonts w:cs="Arial"/>
          <w:szCs w:val="20"/>
        </w:rPr>
      </w:pPr>
      <w:r>
        <w:rPr>
          <w:rFonts w:cs="Arial"/>
          <w:szCs w:val="20"/>
        </w:rPr>
        <w:t>Phase 1 :</w:t>
      </w:r>
      <w:r w:rsidR="00C3152C">
        <w:rPr>
          <w:rFonts w:cs="Arial"/>
          <w:szCs w:val="20"/>
        </w:rPr>
        <w:t xml:space="preserve"> Diagnostic et état des lieux de la consommation en eau</w:t>
      </w:r>
    </w:p>
    <w:p w14:paraId="5D51CB64" w14:textId="70D25253" w:rsidR="007E1A5C" w:rsidRDefault="007E1A5C" w:rsidP="008F7EC5">
      <w:pPr>
        <w:pStyle w:val="Paragraphedeliste"/>
        <w:numPr>
          <w:ilvl w:val="0"/>
          <w:numId w:val="15"/>
        </w:numPr>
        <w:spacing w:line="200" w:lineRule="atLeast"/>
        <w:rPr>
          <w:rFonts w:cs="Arial"/>
          <w:szCs w:val="20"/>
        </w:rPr>
      </w:pPr>
      <w:r>
        <w:rPr>
          <w:rFonts w:cs="Arial"/>
          <w:szCs w:val="20"/>
        </w:rPr>
        <w:t>Phase 2 :</w:t>
      </w:r>
      <w:r w:rsidR="00C3152C" w:rsidRPr="00C3152C">
        <w:rPr>
          <w:rFonts w:cs="Arial"/>
          <w:szCs w:val="20"/>
        </w:rPr>
        <w:t xml:space="preserve"> Élaboration des différents scénarios possibles du Plan de sobriété en eau</w:t>
      </w:r>
    </w:p>
    <w:p w14:paraId="49A4B164" w14:textId="1D8D2BA3" w:rsidR="007E1A5C" w:rsidRPr="007E1A5C" w:rsidRDefault="007E1A5C" w:rsidP="008F7EC5">
      <w:pPr>
        <w:pStyle w:val="Paragraphedeliste"/>
        <w:numPr>
          <w:ilvl w:val="0"/>
          <w:numId w:val="15"/>
        </w:numPr>
        <w:spacing w:line="200" w:lineRule="atLeast"/>
        <w:rPr>
          <w:rFonts w:cs="Arial"/>
          <w:szCs w:val="20"/>
        </w:rPr>
      </w:pPr>
      <w:r>
        <w:rPr>
          <w:rFonts w:cs="Arial"/>
          <w:szCs w:val="20"/>
        </w:rPr>
        <w:t>Phase 3 :</w:t>
      </w:r>
      <w:r w:rsidR="00C3152C">
        <w:rPr>
          <w:rFonts w:cs="Arial"/>
          <w:szCs w:val="20"/>
        </w:rPr>
        <w:t xml:space="preserve"> </w:t>
      </w:r>
      <w:r w:rsidR="00C3152C" w:rsidRPr="00C3152C">
        <w:rPr>
          <w:rFonts w:cs="Arial"/>
          <w:szCs w:val="20"/>
        </w:rPr>
        <w:t>Bilans quantitatifs et proposition d’un plan d’actions visant la réduction en eau</w:t>
      </w:r>
    </w:p>
    <w:p w14:paraId="04A8BE70" w14:textId="77777777" w:rsidR="00E92B35" w:rsidRDefault="00E92B35" w:rsidP="00E92B35">
      <w:pPr>
        <w:spacing w:line="200" w:lineRule="atLeast"/>
        <w:rPr>
          <w:rFonts w:cs="Arial"/>
          <w:szCs w:val="20"/>
        </w:rPr>
      </w:pPr>
    </w:p>
    <w:p w14:paraId="589E860F" w14:textId="288E659E" w:rsidR="00E92B35" w:rsidRPr="005C0268" w:rsidRDefault="00E92B35" w:rsidP="00E92B35">
      <w:pPr>
        <w:spacing w:line="200" w:lineRule="atLeast"/>
        <w:rPr>
          <w:rFonts w:cs="Arial"/>
          <w:szCs w:val="20"/>
        </w:rPr>
      </w:pPr>
      <w:r>
        <w:rPr>
          <w:rFonts w:cs="Arial"/>
          <w:szCs w:val="20"/>
        </w:rPr>
        <w:t xml:space="preserve">Le contrat ne comporte pas de minimum ; son montant maximum est </w:t>
      </w:r>
      <w:r w:rsidR="007E1A5C">
        <w:rPr>
          <w:rFonts w:cs="Arial"/>
          <w:szCs w:val="20"/>
        </w:rPr>
        <w:t xml:space="preserve">fixé </w:t>
      </w:r>
      <w:r>
        <w:rPr>
          <w:rFonts w:cs="Arial"/>
          <w:szCs w:val="20"/>
        </w:rPr>
        <w:t>à 80 000€ HT sur sa durée totale.</w:t>
      </w:r>
    </w:p>
    <w:p w14:paraId="4605442A" w14:textId="77777777" w:rsidR="00E92B35" w:rsidRDefault="00E92B35" w:rsidP="00E92B35">
      <w:pPr>
        <w:spacing w:line="200" w:lineRule="atLeast"/>
        <w:rPr>
          <w:rFonts w:cs="Arial"/>
          <w:szCs w:val="20"/>
        </w:rPr>
      </w:pPr>
    </w:p>
    <w:p w14:paraId="5314E0F7" w14:textId="77777777" w:rsidR="00E92B35" w:rsidRDefault="00E92B35" w:rsidP="00E92B35">
      <w:pPr>
        <w:spacing w:line="200" w:lineRule="atLeast"/>
      </w:pPr>
      <w:r>
        <w:t>À titre indicatif et non contractuel, le montant du contrat est estimé à 60 000€ HT.</w:t>
      </w:r>
    </w:p>
    <w:p w14:paraId="5CACE4A1" w14:textId="77777777" w:rsidR="00ED1AA7" w:rsidRDefault="00ED1AA7" w:rsidP="00BA6D3A">
      <w:pPr>
        <w:widowControl/>
        <w:spacing w:line="259" w:lineRule="auto"/>
        <w:jc w:val="left"/>
      </w:pPr>
    </w:p>
    <w:p w14:paraId="2702E506" w14:textId="174AF0DB" w:rsidR="00E92B35" w:rsidRDefault="00E92B35" w:rsidP="00E92B35">
      <w:pPr>
        <w:spacing w:after="160" w:line="259" w:lineRule="auto"/>
      </w:pPr>
      <w:r>
        <w:rPr>
          <w:szCs w:val="20"/>
        </w:rPr>
        <w:t>L’attention des candidats est portée sur le fait que le montant maximum indiqué supra ne correspond pas au budget alloué au contrat, mais constitue une limite au-delà de laquelle le contrat prendrait fin si le montant maximum était atteint.</w:t>
      </w:r>
    </w:p>
    <w:p w14:paraId="655B8132" w14:textId="5F2B5A8C" w:rsidR="00ED1AA7" w:rsidRDefault="00E92B35">
      <w:pPr>
        <w:pStyle w:val="Titre2"/>
        <w:widowControl/>
      </w:pPr>
      <w:bookmarkStart w:id="4" w:name="_Toc233623644"/>
      <w:r>
        <w:t>2.3 Allotissement</w:t>
      </w:r>
      <w:bookmarkEnd w:id="4"/>
    </w:p>
    <w:p w14:paraId="441612C1" w14:textId="77777777" w:rsidR="00ED1AA7" w:rsidRDefault="00ED1AA7"/>
    <w:p w14:paraId="3791B76D" w14:textId="465A2A6B" w:rsidR="00ED1AA7" w:rsidRDefault="00E92B35">
      <w:pPr>
        <w:widowControl/>
      </w:pPr>
      <w:r>
        <w:rPr>
          <w:szCs w:val="20"/>
          <w:shd w:val="clear" w:color="auto" w:fill="FFFFFF" w:themeFill="background1"/>
        </w:rPr>
        <w:t>L'objet de la consultation ne permettant pas l'identification de prestations distinctes, celle-ci n'est pas allotie.</w:t>
      </w:r>
    </w:p>
    <w:p w14:paraId="6C369F7F" w14:textId="77777777" w:rsidR="00ED1AA7" w:rsidRDefault="00ED1AA7">
      <w:pPr>
        <w:widowControl/>
      </w:pPr>
    </w:p>
    <w:p w14:paraId="1DFCAAC7" w14:textId="3E1261C6" w:rsidR="00ED1AA7" w:rsidRDefault="00E92B35">
      <w:pPr>
        <w:pStyle w:val="Titre2"/>
        <w:widowControl/>
      </w:pPr>
      <w:bookmarkStart w:id="5" w:name="_Toc233623645"/>
      <w:r>
        <w:t>2.4 Durée du contrat</w:t>
      </w:r>
      <w:bookmarkEnd w:id="5"/>
    </w:p>
    <w:p w14:paraId="01394BA8" w14:textId="77777777" w:rsidR="00ED1AA7" w:rsidRDefault="00ED1AA7"/>
    <w:p w14:paraId="6504B8FA" w14:textId="77777777" w:rsidR="00ED1AA7" w:rsidRDefault="00E92B35">
      <w:r>
        <w:t xml:space="preserve">Le contrat est conclu pour une durée ferme d’un (1) an à compter de sa date de notification. </w:t>
      </w:r>
    </w:p>
    <w:p w14:paraId="36AE4C65" w14:textId="77777777" w:rsidR="00ED1AA7" w:rsidRDefault="00ED1AA7">
      <w:pPr>
        <w:widowControl/>
      </w:pPr>
    </w:p>
    <w:p w14:paraId="4A9F5018" w14:textId="5BBBEC5C" w:rsidR="00ED1AA7" w:rsidRDefault="00E92B35">
      <w:pPr>
        <w:pStyle w:val="Titre2"/>
        <w:widowControl/>
      </w:pPr>
      <w:bookmarkStart w:id="6" w:name="_Toc233623646"/>
      <w:r>
        <w:t>2.5 Variante</w:t>
      </w:r>
      <w:bookmarkEnd w:id="6"/>
    </w:p>
    <w:p w14:paraId="53676E0F" w14:textId="77777777" w:rsidR="00ED1AA7" w:rsidRDefault="00ED1AA7"/>
    <w:p w14:paraId="5CD086E7" w14:textId="18A3F0D3" w:rsidR="00ED1AA7" w:rsidRDefault="00E92B35">
      <w:pPr>
        <w:widowControl/>
      </w:pPr>
      <w:r>
        <w:t>Le contrat ne comprend pas de variante.</w:t>
      </w:r>
    </w:p>
    <w:p w14:paraId="45F44B25" w14:textId="77777777" w:rsidR="00ED1AA7" w:rsidRDefault="00ED1AA7">
      <w:pPr>
        <w:widowControl/>
      </w:pPr>
    </w:p>
    <w:p w14:paraId="3BC7E4B3" w14:textId="326EA526" w:rsidR="00ED1AA7" w:rsidRDefault="00E92B35">
      <w:pPr>
        <w:pStyle w:val="Titre2"/>
      </w:pPr>
      <w:bookmarkStart w:id="7" w:name="_Toc233623647"/>
      <w:r>
        <w:t>2.6 Options</w:t>
      </w:r>
      <w:bookmarkEnd w:id="7"/>
    </w:p>
    <w:p w14:paraId="7E9D6896" w14:textId="77777777" w:rsidR="00ED1AA7" w:rsidRDefault="00ED1AA7">
      <w:pPr>
        <w:widowControl/>
      </w:pPr>
    </w:p>
    <w:p w14:paraId="28EBD816" w14:textId="0A009706" w:rsidR="00ED1AA7" w:rsidRDefault="00E92B35">
      <w:r>
        <w:t xml:space="preserve">L’acheteur se réserve le droit de recourir à un </w:t>
      </w:r>
      <w:r>
        <w:rPr>
          <w:rFonts w:eastAsia="Arial" w:cs="Arial"/>
          <w:szCs w:val="20"/>
        </w:rPr>
        <w:t>contrat</w:t>
      </w:r>
      <w:r>
        <w:t xml:space="preserve"> de prestations similaires, dans les conditions fixées à l’article R.2122-7 du code de la Commande publique.</w:t>
      </w:r>
    </w:p>
    <w:p w14:paraId="3C033371" w14:textId="77777777" w:rsidR="00ED1AA7" w:rsidRDefault="00ED1AA7">
      <w:pPr>
        <w:widowControl/>
        <w:rPr>
          <w:szCs w:val="20"/>
        </w:rPr>
      </w:pPr>
    </w:p>
    <w:p w14:paraId="61D93F1B" w14:textId="14E13B5E" w:rsidR="00ED1AA7" w:rsidRDefault="00E92B35">
      <w:pPr>
        <w:pStyle w:val="Titre2"/>
        <w:rPr>
          <w:shd w:val="clear" w:color="auto" w:fill="FFFF00"/>
        </w:rPr>
      </w:pPr>
      <w:bookmarkStart w:id="8" w:name="_Toc233623648"/>
      <w:r>
        <w:t>2.7 Langue et unité monétaire</w:t>
      </w:r>
      <w:bookmarkEnd w:id="8"/>
    </w:p>
    <w:p w14:paraId="6656CC78" w14:textId="77777777" w:rsidR="00ED1AA7" w:rsidRDefault="00ED1AA7">
      <w:pPr>
        <w:widowControl/>
        <w:rPr>
          <w:shd w:val="clear" w:color="auto" w:fill="FFFF00"/>
        </w:rPr>
      </w:pPr>
    </w:p>
    <w:p w14:paraId="2AEEF362" w14:textId="0802BCE9" w:rsidR="00ED1AA7" w:rsidRDefault="00E92B35">
      <w:pPr>
        <w:widowControl/>
      </w:pPr>
      <w:r>
        <w:t>Les offres devront obligatoirement être rédigées en français.</w:t>
      </w:r>
    </w:p>
    <w:p w14:paraId="2BFBBDA3" w14:textId="77777777" w:rsidR="00ED1AA7" w:rsidRDefault="00ED1AA7">
      <w:pPr>
        <w:widowControl/>
      </w:pPr>
    </w:p>
    <w:p w14:paraId="73A6D12E" w14:textId="77777777" w:rsidR="00ED1AA7" w:rsidRDefault="00E92B35">
      <w:pPr>
        <w:widowControl/>
        <w:rPr>
          <w:shd w:val="clear" w:color="auto" w:fill="FFFF00"/>
        </w:rPr>
      </w:pPr>
      <w:r>
        <w:t>L’unité de compte est l’euro. Les prix formulés par le soumissionnaire sont exprimés uniquement dans cette unité monétaire.</w:t>
      </w:r>
    </w:p>
    <w:p w14:paraId="61B3D00A" w14:textId="77777777" w:rsidR="00ED1AA7" w:rsidRDefault="00ED1AA7">
      <w:pPr>
        <w:widowControl/>
        <w:rPr>
          <w:shd w:val="clear" w:color="auto" w:fill="FFFF00"/>
        </w:rPr>
      </w:pPr>
    </w:p>
    <w:p w14:paraId="4A40F310" w14:textId="77777777" w:rsidR="00ED1AA7" w:rsidRDefault="00ED1AA7">
      <w:pPr>
        <w:widowControl/>
        <w:rPr>
          <w:shd w:val="clear" w:color="auto" w:fill="FFFF00"/>
        </w:rPr>
      </w:pPr>
    </w:p>
    <w:p w14:paraId="38B98813" w14:textId="7A7462EC" w:rsidR="00ED1AA7" w:rsidRDefault="00E92B35">
      <w:pPr>
        <w:pStyle w:val="Titre1"/>
      </w:pPr>
      <w:bookmarkStart w:id="9" w:name="_Toc233623649"/>
      <w:r>
        <w:t>ARTICLE 3 – MODALITÉS D'EXÉCUTION DU CONTRAT</w:t>
      </w:r>
      <w:bookmarkEnd w:id="9"/>
    </w:p>
    <w:p w14:paraId="40A623E2" w14:textId="77777777" w:rsidR="00ED1AA7" w:rsidRDefault="00ED1AA7">
      <w:pPr>
        <w:widowControl/>
      </w:pPr>
    </w:p>
    <w:p w14:paraId="40BB6CEB" w14:textId="77777777" w:rsidR="00ED1AA7" w:rsidRDefault="00E92B35">
      <w:pPr>
        <w:pStyle w:val="Titre2"/>
        <w:widowControl/>
      </w:pPr>
      <w:bookmarkStart w:id="10" w:name="_Toc233623650"/>
      <w:r>
        <w:t>3.1 Modalités de financement et de paiement</w:t>
      </w:r>
      <w:bookmarkEnd w:id="10"/>
    </w:p>
    <w:p w14:paraId="714E48B6" w14:textId="77777777" w:rsidR="00ED1AA7" w:rsidRDefault="00ED1AA7">
      <w:pPr>
        <w:widowControl/>
      </w:pPr>
    </w:p>
    <w:p w14:paraId="63486A0C" w14:textId="3B9DB6DF" w:rsidR="00ED1AA7" w:rsidRDefault="00E92B35">
      <w:pPr>
        <w:rPr>
          <w:rFonts w:cs="Arial"/>
          <w:szCs w:val="20"/>
        </w:rPr>
      </w:pPr>
      <w:r>
        <w:rPr>
          <w:rFonts w:cs="Arial"/>
          <w:szCs w:val="20"/>
        </w:rPr>
        <w:t xml:space="preserve">Le contrat est financé sur le budget principal de l’EPT Paris Ouest La Défense </w:t>
      </w:r>
    </w:p>
    <w:p w14:paraId="6C1938FB" w14:textId="77777777" w:rsidR="00ED1AA7" w:rsidRDefault="00ED1AA7">
      <w:pPr>
        <w:rPr>
          <w:rFonts w:cs="Arial"/>
          <w:szCs w:val="20"/>
        </w:rPr>
      </w:pPr>
    </w:p>
    <w:p w14:paraId="1EABE13C" w14:textId="77777777" w:rsidR="00ED1AA7" w:rsidRDefault="00E92B35">
      <w:pPr>
        <w:pStyle w:val="Corpsdetexte"/>
        <w:spacing w:after="0"/>
      </w:pPr>
      <w:r>
        <w:rPr>
          <w:rFonts w:eastAsia="Arial" w:cs="Arial"/>
          <w:szCs w:val="20"/>
        </w:rPr>
        <w:t>Le mode de règlement choisi par l’acheteur est le virement administratif.</w:t>
      </w:r>
    </w:p>
    <w:p w14:paraId="42EC6B93" w14:textId="77777777" w:rsidR="00ED1AA7" w:rsidRDefault="00E92B35">
      <w:pPr>
        <w:pStyle w:val="Corpsdetexte"/>
        <w:spacing w:after="0"/>
      </w:pPr>
      <w:r>
        <w:t> </w:t>
      </w:r>
    </w:p>
    <w:p w14:paraId="53BB1556" w14:textId="4EBD82E6" w:rsidR="00ED1AA7" w:rsidRDefault="00E92B35">
      <w:r>
        <w:rPr>
          <w:rFonts w:eastAsia="Arial" w:cs="Arial"/>
          <w:szCs w:val="20"/>
        </w:rPr>
        <w:t>Le délai de paiement est fixé à trente (30) jours à compter de la demande de paiement conformément à l’article R.2192-10 du code de la Commande publique. Le dépassement de ce délai ouvre de plein droit, et sans autre formalité pour le titulaire, le bénéfice d’intérêts moratoires équivalents au taux d'intérêt fixé par la Banque Centrale Européenne augmentés de huit (8) points et du versement d'une indemnité forfaitaire de quarante (40) euros pour frais de recouvrement.</w:t>
      </w:r>
    </w:p>
    <w:p w14:paraId="1133EBC6" w14:textId="77777777" w:rsidR="00ED1AA7" w:rsidRDefault="00ED1AA7"/>
    <w:p w14:paraId="0FE8CBAC" w14:textId="788CDB26" w:rsidR="00ED1AA7" w:rsidRDefault="00E92B35">
      <w:pPr>
        <w:pStyle w:val="Titre2"/>
      </w:pPr>
      <w:bookmarkStart w:id="11" w:name="_Toc233623651"/>
      <w:r>
        <w:t>3.2 Avance</w:t>
      </w:r>
      <w:bookmarkEnd w:id="11"/>
    </w:p>
    <w:p w14:paraId="7977D585" w14:textId="77777777" w:rsidR="00ED1AA7" w:rsidRDefault="00ED1AA7">
      <w:pPr>
        <w:rPr>
          <w:rStyle w:val="Marquedecommentaire1"/>
        </w:rPr>
      </w:pPr>
    </w:p>
    <w:p w14:paraId="5C9F6507" w14:textId="2AE4B946" w:rsidR="0011751A" w:rsidRPr="00BA6D3A" w:rsidRDefault="0011751A">
      <w:pPr>
        <w:rPr>
          <w:rFonts w:eastAsia="Times New Roman" w:cs="Arial"/>
          <w:szCs w:val="20"/>
          <w:lang w:eastAsia="fr-FR" w:bidi="ar-SA"/>
        </w:rPr>
      </w:pPr>
      <w:r w:rsidRPr="00BA6D3A">
        <w:rPr>
          <w:rFonts w:eastAsia="Times New Roman" w:cs="Arial"/>
          <w:szCs w:val="20"/>
          <w:lang w:eastAsia="fr-FR" w:bidi="ar-SA"/>
        </w:rPr>
        <w:t>L’acheteur choisit l’option B prévue à l’article 11.1 du CCAG/PI.</w:t>
      </w:r>
    </w:p>
    <w:p w14:paraId="69F3A671" w14:textId="77777777" w:rsidR="0011751A" w:rsidRDefault="0011751A">
      <w:pPr>
        <w:rPr>
          <w:rFonts w:eastAsia="Times New Roman" w:cs="Arial"/>
          <w:szCs w:val="20"/>
          <w:lang w:eastAsia="fr-FR" w:bidi="ar-SA"/>
        </w:rPr>
      </w:pPr>
    </w:p>
    <w:p w14:paraId="31FCA8E5" w14:textId="01D49993" w:rsidR="00ED1AA7" w:rsidRDefault="00E92B35">
      <w:pPr>
        <w:rPr>
          <w:rFonts w:eastAsia="Times New Roman" w:cs="Arial"/>
          <w:szCs w:val="20"/>
          <w:lang w:eastAsia="fr-FR" w:bidi="ar-SA"/>
        </w:rPr>
      </w:pPr>
      <w:r>
        <w:rPr>
          <w:rFonts w:eastAsia="Times New Roman" w:cs="Arial"/>
          <w:szCs w:val="20"/>
          <w:lang w:eastAsia="fr-FR" w:bidi="ar-SA"/>
        </w:rPr>
        <w:t>En application des articles R.2191-3 et R.2195-5 du code de la Commande publique, une avance égale à 5% du montant du</w:t>
      </w:r>
      <w:r>
        <w:rPr>
          <w:rFonts w:eastAsia="Times New Roman" w:cs="Arial"/>
          <w:color w:val="FF0000"/>
          <w:szCs w:val="20"/>
          <w:lang w:eastAsia="fr-FR" w:bidi="ar-SA"/>
        </w:rPr>
        <w:t xml:space="preserve"> </w:t>
      </w:r>
      <w:r>
        <w:rPr>
          <w:rFonts w:eastAsia="Times New Roman" w:cs="Arial"/>
          <w:szCs w:val="20"/>
          <w:lang w:eastAsia="fr-FR" w:bidi="ar-SA"/>
        </w:rPr>
        <w:t>contrat est accordée au titulaire lorsque son montant est supérieur à 50 000 € HT et sa durée d'exécution supérieure à deux (2) mois</w:t>
      </w:r>
      <w:r>
        <w:rPr>
          <w:rFonts w:eastAsia="Times New Roman" w:cs="Arial"/>
          <w:szCs w:val="20"/>
          <w:shd w:val="clear" w:color="auto" w:fill="FFFFFF"/>
          <w:lang w:eastAsia="fr-FR" w:bidi="ar-SA"/>
        </w:rPr>
        <w:t xml:space="preserve">. Le montant de l'avance est porté à 10 % lorsque le titulaire est une PME au sens de l'article R.2151-13 du code de la Commande publique. </w:t>
      </w:r>
      <w:r>
        <w:rPr>
          <w:rFonts w:eastAsia="Times New Roman" w:cs="Arial"/>
          <w:szCs w:val="20"/>
          <w:lang w:eastAsia="fr-FR" w:bidi="ar-SA"/>
        </w:rPr>
        <w:t>Le titulaire peut toutefois refuser le versement de l'avance. Son refus doit être expressément mentionné dans l'acte d'engagement.</w:t>
      </w:r>
    </w:p>
    <w:p w14:paraId="19F41B34" w14:textId="77777777" w:rsidR="00ED1AA7" w:rsidRDefault="00ED1AA7">
      <w:pPr>
        <w:rPr>
          <w:rFonts w:eastAsia="Times New Roman" w:cs="Arial"/>
          <w:szCs w:val="20"/>
          <w:lang w:eastAsia="fr-FR" w:bidi="ar-SA"/>
        </w:rPr>
      </w:pPr>
    </w:p>
    <w:p w14:paraId="65BFE2CC" w14:textId="199D246B" w:rsidR="00ED1AA7" w:rsidRDefault="00E92B35">
      <w:pPr>
        <w:rPr>
          <w:rFonts w:eastAsia="Times New Roman" w:cs="Arial"/>
          <w:szCs w:val="20"/>
          <w:lang w:eastAsia="fr-FR" w:bidi="ar-SA"/>
        </w:rPr>
      </w:pPr>
      <w:r>
        <w:rPr>
          <w:rFonts w:eastAsia="Times New Roman" w:cs="Arial"/>
          <w:szCs w:val="20"/>
          <w:lang w:eastAsia="fr-FR" w:bidi="ar-SA"/>
        </w:rPr>
        <w:t xml:space="preserve">Les modalités de calcul du remboursement de cette avance s’effectuent conformément aux dispositions des articles R.2191-11 et suivants du code de la Commande publique. </w:t>
      </w:r>
    </w:p>
    <w:p w14:paraId="1B94B68D" w14:textId="580B1F01" w:rsidR="00ED1AA7" w:rsidRDefault="00E92B35">
      <w:pPr>
        <w:pStyle w:val="Commentaire2"/>
        <w:rPr>
          <w:rFonts w:eastAsia="Times New Roman"/>
          <w:spacing w:val="-2"/>
        </w:rPr>
      </w:pPr>
      <w:r>
        <w:t xml:space="preserve"> </w:t>
      </w:r>
    </w:p>
    <w:p w14:paraId="332BF699" w14:textId="77777777" w:rsidR="00ED1AA7" w:rsidRDefault="00E92B35">
      <w:pPr>
        <w:pStyle w:val="Titre2"/>
        <w:rPr>
          <w:rFonts w:cs="Arial"/>
          <w:szCs w:val="20"/>
        </w:rPr>
      </w:pPr>
      <w:bookmarkStart w:id="12" w:name="_Toc233623652"/>
      <w:r>
        <w:t>3.3 Acompte et règlement partiel définitif</w:t>
      </w:r>
      <w:bookmarkEnd w:id="12"/>
    </w:p>
    <w:p w14:paraId="38A007FA" w14:textId="77777777" w:rsidR="00ED1AA7" w:rsidRDefault="00ED1AA7">
      <w:pPr>
        <w:rPr>
          <w:rFonts w:cs="Arial"/>
          <w:szCs w:val="20"/>
        </w:rPr>
      </w:pPr>
    </w:p>
    <w:p w14:paraId="291A5C48" w14:textId="3451C6CD" w:rsidR="00ED1AA7" w:rsidRDefault="00E92B35">
      <w:pPr>
        <w:widowControl/>
        <w:rPr>
          <w:rFonts w:eastAsia="Times New Roman" w:cs="Arial"/>
          <w:spacing w:val="-2"/>
          <w:szCs w:val="20"/>
        </w:rPr>
      </w:pPr>
      <w:r>
        <w:rPr>
          <w:rFonts w:eastAsia="Times New Roman" w:cs="Arial"/>
          <w:spacing w:val="-2"/>
          <w:szCs w:val="20"/>
        </w:rPr>
        <w:t xml:space="preserve">Le titulaire peut bénéficier du versement d'acomptes dans les conditions décrites </w:t>
      </w:r>
      <w:r>
        <w:rPr>
          <w:rFonts w:eastAsia="Times New Roman" w:cs="Arial"/>
          <w:spacing w:val="-2"/>
          <w:szCs w:val="20"/>
          <w:shd w:val="clear" w:color="auto" w:fill="FFFFFF" w:themeFill="background1"/>
        </w:rPr>
        <w:t xml:space="preserve">aux articles </w:t>
      </w:r>
      <w:r>
        <w:rPr>
          <w:rFonts w:eastAsia="Times New Roman" w:cs="Arial"/>
          <w:spacing w:val="-2"/>
          <w:szCs w:val="20"/>
        </w:rPr>
        <w:t>aux                                   articles L.2191-4 et R.2191-20 et suivants du code de la Commande publique.</w:t>
      </w:r>
    </w:p>
    <w:p w14:paraId="44AE1BA4" w14:textId="17797215" w:rsidR="00ED1AA7" w:rsidRDefault="00ED1AA7">
      <w:pPr>
        <w:shd w:val="clear" w:color="auto" w:fill="FFFFFF" w:themeFill="background1"/>
        <w:rPr>
          <w:rFonts w:cs="Arial"/>
          <w:i/>
          <w:iCs/>
          <w:sz w:val="18"/>
          <w:szCs w:val="18"/>
        </w:rPr>
      </w:pPr>
    </w:p>
    <w:p w14:paraId="318F1C7D" w14:textId="212A5F74" w:rsidR="00ED1AA7" w:rsidRDefault="00E92B35">
      <w:pPr>
        <w:pStyle w:val="Titre1"/>
      </w:pPr>
      <w:bookmarkStart w:id="13" w:name="_Toc233623653"/>
      <w:r>
        <w:t>ARTICLE 4 – DOSSIER DE CONSULTATIONS DES ENTREPRISES (DCE)</w:t>
      </w:r>
      <w:bookmarkEnd w:id="13"/>
      <w:r>
        <w:t xml:space="preserve"> </w:t>
      </w:r>
    </w:p>
    <w:p w14:paraId="5A44A6CC" w14:textId="77777777" w:rsidR="00ED1AA7" w:rsidRDefault="00ED1AA7"/>
    <w:p w14:paraId="16BFD394" w14:textId="77777777" w:rsidR="00ED1AA7" w:rsidRDefault="00E92B35">
      <w:pPr>
        <w:pStyle w:val="Titre2"/>
      </w:pPr>
      <w:bookmarkStart w:id="14" w:name="_Toc233623654"/>
      <w:r>
        <w:t>4.1 Composition du DCE</w:t>
      </w:r>
      <w:bookmarkEnd w:id="14"/>
    </w:p>
    <w:p w14:paraId="582484B8" w14:textId="77777777" w:rsidR="00ED1AA7" w:rsidRDefault="00ED1AA7"/>
    <w:p w14:paraId="0C046A47" w14:textId="77777777" w:rsidR="00ED1AA7" w:rsidRDefault="00E92B35">
      <w:r>
        <w:t>Le dossier de consultation comprend :</w:t>
      </w:r>
    </w:p>
    <w:p w14:paraId="206DDAB2" w14:textId="77777777" w:rsidR="00ED1AA7" w:rsidRDefault="00E92B35" w:rsidP="008F7EC5">
      <w:pPr>
        <w:pStyle w:val="Paragraphedeliste"/>
        <w:numPr>
          <w:ilvl w:val="0"/>
          <w:numId w:val="16"/>
        </w:numPr>
      </w:pPr>
      <w:r>
        <w:t xml:space="preserve">le présent règlement de la consultation (RC) et son annexe « fiche de vérification », </w:t>
      </w:r>
    </w:p>
    <w:p w14:paraId="316B9B48" w14:textId="23F29AB8" w:rsidR="00ED1AA7" w:rsidRDefault="00E92B35" w:rsidP="008F7EC5">
      <w:pPr>
        <w:pStyle w:val="Paragraphedeliste"/>
        <w:numPr>
          <w:ilvl w:val="0"/>
          <w:numId w:val="16"/>
        </w:numPr>
      </w:pPr>
      <w:r>
        <w:t>le cahier des clauses administratives particulières (CCAP) et son annexe charte RGPD,</w:t>
      </w:r>
    </w:p>
    <w:p w14:paraId="60158024" w14:textId="059D9843" w:rsidR="00A92532" w:rsidRPr="00BA6D3A" w:rsidRDefault="00BA6D3A" w:rsidP="008F7EC5">
      <w:pPr>
        <w:pStyle w:val="Paragraphedeliste"/>
        <w:widowControl/>
        <w:numPr>
          <w:ilvl w:val="0"/>
          <w:numId w:val="16"/>
        </w:numPr>
        <w:suppressAutoHyphens/>
        <w:spacing w:line="200" w:lineRule="atLeast"/>
        <w:rPr>
          <w:rFonts w:cs="Arial"/>
          <w:szCs w:val="20"/>
        </w:rPr>
      </w:pPr>
      <w:r>
        <w:t>l</w:t>
      </w:r>
      <w:r w:rsidR="00E92B35">
        <w:t>e cahier des clauses techniques particulières (CCTP) et ses</w:t>
      </w:r>
      <w:r w:rsidR="00A92532">
        <w:t xml:space="preserve"> deux</w:t>
      </w:r>
      <w:r w:rsidR="00AB7EFC">
        <w:t xml:space="preserve"> annexes. </w:t>
      </w:r>
      <w:r w:rsidR="00AB7EFC" w:rsidRPr="00BA6D3A">
        <w:rPr>
          <w:rFonts w:cs="Arial"/>
          <w:szCs w:val="20"/>
        </w:rPr>
        <w:t>Les deux annexes ci-dessous étant comprises dans le document CCTP</w:t>
      </w:r>
    </w:p>
    <w:p w14:paraId="239F8433" w14:textId="04CF5529" w:rsidR="00A92532" w:rsidRPr="00BA6D3A" w:rsidRDefault="00E92B35" w:rsidP="008F7EC5">
      <w:pPr>
        <w:pStyle w:val="Paragraphedeliste"/>
        <w:numPr>
          <w:ilvl w:val="0"/>
          <w:numId w:val="17"/>
        </w:numPr>
        <w:rPr>
          <w:szCs w:val="20"/>
          <w:shd w:val="clear" w:color="auto" w:fill="FFFF00"/>
        </w:rPr>
      </w:pPr>
      <w:r>
        <w:t xml:space="preserve">Définition des notions </w:t>
      </w:r>
    </w:p>
    <w:p w14:paraId="0830F0FA" w14:textId="33A387DA" w:rsidR="00ED1AA7" w:rsidRPr="00BA6D3A" w:rsidRDefault="00E92B35" w:rsidP="008F7EC5">
      <w:pPr>
        <w:pStyle w:val="Paragraphedeliste"/>
        <w:numPr>
          <w:ilvl w:val="0"/>
          <w:numId w:val="17"/>
        </w:numPr>
        <w:rPr>
          <w:szCs w:val="20"/>
          <w:shd w:val="clear" w:color="auto" w:fill="FFFF00"/>
        </w:rPr>
      </w:pPr>
      <w:r w:rsidRPr="00BA6D3A">
        <w:rPr>
          <w:rFonts w:cs="Arial"/>
          <w:szCs w:val="20"/>
        </w:rPr>
        <w:t>Exemple de plan d’action hiérarchisé</w:t>
      </w:r>
    </w:p>
    <w:p w14:paraId="32C1B26F" w14:textId="1F95A34B" w:rsidR="00ED1AA7" w:rsidRPr="00BA6D3A" w:rsidRDefault="00E92B35" w:rsidP="008F7EC5">
      <w:pPr>
        <w:pStyle w:val="Paragraphedeliste"/>
        <w:numPr>
          <w:ilvl w:val="0"/>
          <w:numId w:val="18"/>
        </w:numPr>
        <w:rPr>
          <w:szCs w:val="20"/>
          <w:shd w:val="clear" w:color="auto" w:fill="FFFF00"/>
        </w:rPr>
      </w:pPr>
      <w:r>
        <w:t xml:space="preserve">l’acte d’engagement (ATTRI1), à remplir par le soumissionnaire et ses </w:t>
      </w:r>
      <w:r w:rsidR="00A92532">
        <w:t xml:space="preserve">deux </w:t>
      </w:r>
      <w:r>
        <w:t>annexes</w:t>
      </w:r>
    </w:p>
    <w:p w14:paraId="4409FF26" w14:textId="05371935" w:rsidR="00BA6D3A" w:rsidRDefault="00BA6D3A" w:rsidP="00BA6D3A">
      <w:pPr>
        <w:ind w:left="360"/>
        <w:rPr>
          <w:szCs w:val="20"/>
        </w:rPr>
      </w:pPr>
      <w:r>
        <w:rPr>
          <w:szCs w:val="20"/>
        </w:rPr>
        <w:t xml:space="preserve">-     </w:t>
      </w:r>
      <w:r w:rsidR="00E92B35">
        <w:rPr>
          <w:szCs w:val="20"/>
        </w:rPr>
        <w:t>La</w:t>
      </w:r>
      <w:r w:rsidR="00A92532">
        <w:rPr>
          <w:szCs w:val="20"/>
        </w:rPr>
        <w:t xml:space="preserve"> </w:t>
      </w:r>
      <w:r w:rsidR="00E92B35">
        <w:rPr>
          <w:szCs w:val="20"/>
        </w:rPr>
        <w:t>décomposition du prix global et forfaitaire (DPGF)</w:t>
      </w:r>
      <w:r w:rsidR="008F7EC5">
        <w:rPr>
          <w:szCs w:val="20"/>
        </w:rPr>
        <w:t xml:space="preserve"> à remplir par le soumissionnaire</w:t>
      </w:r>
      <w:r w:rsidR="00A92532">
        <w:rPr>
          <w:szCs w:val="20"/>
        </w:rPr>
        <w:t>,</w:t>
      </w:r>
    </w:p>
    <w:p w14:paraId="589955CD" w14:textId="3F1F2D04" w:rsidR="00ED1AA7" w:rsidRDefault="00E92B35" w:rsidP="00BA6D3A">
      <w:pPr>
        <w:ind w:left="360"/>
        <w:rPr>
          <w:szCs w:val="20"/>
        </w:rPr>
      </w:pPr>
      <w:r>
        <w:rPr>
          <w:szCs w:val="20"/>
        </w:rPr>
        <w:t>-</w:t>
      </w:r>
      <w:r>
        <w:rPr>
          <w:rFonts w:cs="Arial"/>
          <w:szCs w:val="20"/>
        </w:rPr>
        <w:t xml:space="preserve"> </w:t>
      </w:r>
      <w:r w:rsidR="00BA6D3A">
        <w:rPr>
          <w:rFonts w:cs="Arial"/>
          <w:szCs w:val="20"/>
        </w:rPr>
        <w:t xml:space="preserve">    L</w:t>
      </w:r>
      <w:r w:rsidR="00A92532">
        <w:rPr>
          <w:rFonts w:cs="Arial"/>
          <w:szCs w:val="20"/>
        </w:rPr>
        <w:t>e B</w:t>
      </w:r>
      <w:r>
        <w:rPr>
          <w:rFonts w:cs="Arial"/>
          <w:szCs w:val="20"/>
        </w:rPr>
        <w:t xml:space="preserve">ordereau de prix unitaires </w:t>
      </w:r>
      <w:r>
        <w:rPr>
          <w:szCs w:val="20"/>
        </w:rPr>
        <w:t>à remplir par le soumissionnaire,</w:t>
      </w:r>
    </w:p>
    <w:p w14:paraId="33A2794A" w14:textId="121F892F" w:rsidR="00ED1AA7" w:rsidRPr="00BA6D3A" w:rsidRDefault="00BA6D3A" w:rsidP="008F7EC5">
      <w:pPr>
        <w:pStyle w:val="Paragraphedeliste"/>
        <w:numPr>
          <w:ilvl w:val="0"/>
          <w:numId w:val="19"/>
        </w:numPr>
        <w:rPr>
          <w:szCs w:val="20"/>
        </w:rPr>
      </w:pPr>
      <w:r>
        <w:rPr>
          <w:szCs w:val="20"/>
        </w:rPr>
        <w:t>L</w:t>
      </w:r>
      <w:r w:rsidR="00E92B35" w:rsidRPr="00BA6D3A">
        <w:rPr>
          <w:szCs w:val="20"/>
        </w:rPr>
        <w:t>e cadre de réponse technique (CRT), à compléter par le soumissionnaire,</w:t>
      </w:r>
    </w:p>
    <w:p w14:paraId="0D7D6F0B" w14:textId="032671A0" w:rsidR="00ED1AA7" w:rsidRDefault="00ED1AA7">
      <w:pPr>
        <w:ind w:left="360"/>
      </w:pPr>
    </w:p>
    <w:p w14:paraId="2019BD1C" w14:textId="77777777" w:rsidR="00ED1AA7" w:rsidRDefault="00ED1AA7"/>
    <w:p w14:paraId="167892EC" w14:textId="77777777" w:rsidR="00ED1AA7" w:rsidRDefault="00E92B35">
      <w:pPr>
        <w:pStyle w:val="Titre2"/>
      </w:pPr>
      <w:bookmarkStart w:id="15" w:name="_Toc233623655"/>
      <w:r>
        <w:t>4.2 Modifications du DCE</w:t>
      </w:r>
      <w:bookmarkEnd w:id="15"/>
    </w:p>
    <w:p w14:paraId="2AA9209B" w14:textId="77777777" w:rsidR="00ED1AA7" w:rsidRDefault="00ED1AA7"/>
    <w:p w14:paraId="3554AEFB" w14:textId="7592CD59" w:rsidR="00ED1AA7" w:rsidRDefault="00E92B35">
      <w:pPr>
        <w:rPr>
          <w:color w:val="000000"/>
        </w:rPr>
      </w:pPr>
      <w:r>
        <w:rPr>
          <w:color w:val="000000"/>
        </w:rPr>
        <w:t>L’acheteur se réserve le droit d’apporter,</w:t>
      </w:r>
      <w:r w:rsidR="007842A6">
        <w:rPr>
          <w:color w:val="000000"/>
        </w:rPr>
        <w:t xml:space="preserve"> a</w:t>
      </w:r>
      <w:r w:rsidR="007A7A93">
        <w:rPr>
          <w:color w:val="000000"/>
        </w:rPr>
        <w:t xml:space="preserve">u plus tard jusqu’au mercredi 26 </w:t>
      </w:r>
      <w:bookmarkStart w:id="16" w:name="_GoBack"/>
      <w:bookmarkEnd w:id="16"/>
      <w:r w:rsidR="007842A6">
        <w:rPr>
          <w:color w:val="000000"/>
        </w:rPr>
        <w:t>aout inclus</w:t>
      </w:r>
      <w:r w:rsidRPr="008F7EC5">
        <w:rPr>
          <w:color w:val="000000"/>
        </w:rPr>
        <w:t>,</w:t>
      </w:r>
      <w:r>
        <w:rPr>
          <w:color w:val="000000"/>
        </w:rPr>
        <w:t xml:space="preserve"> des renseignements complémentaires et des modifications de détail au dossier de consultation. Le soumissionnaire doit alors répondre sur la base du dossier modifié sans pouvoir élever aucune réclamation à ce sujet. </w:t>
      </w:r>
    </w:p>
    <w:p w14:paraId="0CC99067" w14:textId="77777777" w:rsidR="00ED1AA7" w:rsidRDefault="00ED1AA7">
      <w:pPr>
        <w:rPr>
          <w:color w:val="000000"/>
        </w:rPr>
      </w:pPr>
    </w:p>
    <w:p w14:paraId="2BB58241" w14:textId="72D52253" w:rsidR="00ED1AA7" w:rsidRDefault="00E92B35">
      <w:pPr>
        <w:rPr>
          <w:color w:val="000000"/>
        </w:rPr>
      </w:pPr>
      <w:r>
        <w:rPr>
          <w:color w:val="000000"/>
        </w:rPr>
        <w:t>Afin de pouvoir respecter ce délai, il est demandé aux soumissionnaires de bien vouloir poser toute question par écrit (plate-forme de dématérialisation)</w:t>
      </w:r>
      <w:r w:rsidR="007A7A93">
        <w:rPr>
          <w:color w:val="000000"/>
        </w:rPr>
        <w:t xml:space="preserve"> au plus tard jusqu’au vendredi 21</w:t>
      </w:r>
      <w:r w:rsidR="007842A6">
        <w:rPr>
          <w:color w:val="000000"/>
        </w:rPr>
        <w:t xml:space="preserve"> aout inclus.</w:t>
      </w:r>
    </w:p>
    <w:p w14:paraId="6D52D259" w14:textId="77777777" w:rsidR="00ED1AA7" w:rsidRDefault="00ED1AA7"/>
    <w:p w14:paraId="1F1564AA" w14:textId="253E3724" w:rsidR="00ED1AA7" w:rsidRDefault="00E92B35">
      <w:pPr>
        <w:pStyle w:val="Titre1"/>
        <w:ind w:left="0" w:firstLine="0"/>
      </w:pPr>
      <w:bookmarkStart w:id="17" w:name="_Toc233623656"/>
      <w:r>
        <w:t>ARTICLE 5 – PRÉSENTATION ET DÉLAI DE VALIDITÉ DES PLIS</w:t>
      </w:r>
      <w:bookmarkEnd w:id="17"/>
    </w:p>
    <w:p w14:paraId="12C39E9C" w14:textId="77777777" w:rsidR="00ED1AA7" w:rsidRDefault="00ED1AA7">
      <w:pPr>
        <w:rPr>
          <w:szCs w:val="20"/>
        </w:rPr>
      </w:pPr>
    </w:p>
    <w:p w14:paraId="788BCED0" w14:textId="55F364A3" w:rsidR="00ED1AA7" w:rsidRDefault="00E92B35">
      <w:pPr>
        <w:rPr>
          <w:rFonts w:eastAsia="Arial" w:cs="Arial"/>
          <w:color w:val="000000"/>
          <w:szCs w:val="20"/>
        </w:rPr>
      </w:pPr>
      <w:r>
        <w:rPr>
          <w:rFonts w:eastAsia="Arial" w:cs="Arial"/>
          <w:color w:val="000000"/>
          <w:szCs w:val="20"/>
        </w:rPr>
        <w:t>Le soumissionnaire remet un pli unique qui comporte</w:t>
      </w:r>
      <w:r>
        <w:rPr>
          <w:rFonts w:eastAsia="Arial" w:cs="Arial"/>
          <w:color w:val="000000"/>
          <w:sz w:val="18"/>
          <w:szCs w:val="18"/>
        </w:rPr>
        <w:t> </w:t>
      </w:r>
      <w:r>
        <w:rPr>
          <w:rFonts w:eastAsia="Arial" w:cs="Arial"/>
          <w:color w:val="000000"/>
          <w:szCs w:val="20"/>
        </w:rPr>
        <w:t>:</w:t>
      </w:r>
    </w:p>
    <w:p w14:paraId="2689E97D" w14:textId="02FB528B" w:rsidR="00ED1AA7" w:rsidRDefault="00E92B35" w:rsidP="008F7EC5">
      <w:pPr>
        <w:numPr>
          <w:ilvl w:val="0"/>
          <w:numId w:val="6"/>
        </w:numPr>
        <w:rPr>
          <w:rFonts w:eastAsia="Arial" w:cs="Arial"/>
          <w:color w:val="000000"/>
          <w:szCs w:val="20"/>
        </w:rPr>
      </w:pPr>
      <w:r>
        <w:rPr>
          <w:rFonts w:eastAsia="Arial" w:cs="Arial"/>
          <w:color w:val="000000"/>
          <w:szCs w:val="20"/>
        </w:rPr>
        <w:t xml:space="preserve">un dossier de candidature </w:t>
      </w:r>
    </w:p>
    <w:p w14:paraId="13CF37DB" w14:textId="3EE86B9F" w:rsidR="00ED1AA7" w:rsidRDefault="00E92B35" w:rsidP="008F7EC5">
      <w:pPr>
        <w:numPr>
          <w:ilvl w:val="0"/>
          <w:numId w:val="6"/>
        </w:numPr>
        <w:rPr>
          <w:rFonts w:eastAsia="Arial" w:cs="Arial"/>
          <w:color w:val="000000"/>
          <w:szCs w:val="20"/>
        </w:rPr>
      </w:pPr>
      <w:r>
        <w:rPr>
          <w:rFonts w:eastAsia="Arial" w:cs="Arial"/>
          <w:color w:val="000000"/>
          <w:szCs w:val="20"/>
        </w:rPr>
        <w:t xml:space="preserve">un dossier d'offre </w:t>
      </w:r>
    </w:p>
    <w:p w14:paraId="37F1585D" w14:textId="77777777" w:rsidR="00ED1AA7" w:rsidRDefault="00ED1AA7">
      <w:pPr>
        <w:spacing w:line="240" w:lineRule="exact"/>
        <w:ind w:left="-15" w:right="-3"/>
      </w:pPr>
    </w:p>
    <w:p w14:paraId="40D7B124" w14:textId="7565B88F" w:rsidR="00ED1AA7" w:rsidRDefault="00E92B35">
      <w:pPr>
        <w:pBdr>
          <w:top w:val="single" w:sz="2" w:space="1" w:color="000000"/>
          <w:left w:val="single" w:sz="2" w:space="1" w:color="000000"/>
          <w:bottom w:val="single" w:sz="2" w:space="1" w:color="000000"/>
          <w:right w:val="single" w:sz="2" w:space="1" w:color="000000"/>
        </w:pBdr>
        <w:shd w:val="pct12" w:color="auto" w:fill="auto"/>
        <w:tabs>
          <w:tab w:val="left" w:pos="571"/>
        </w:tabs>
        <w:ind w:left="288" w:right="272"/>
        <w:rPr>
          <w:color w:val="000000"/>
          <w:szCs w:val="20"/>
        </w:rPr>
      </w:pPr>
      <w:r>
        <w:rPr>
          <w:b/>
          <w:bCs/>
          <w:color w:val="000000"/>
          <w:szCs w:val="20"/>
          <w:u w:val="single"/>
        </w:rPr>
        <w:t>ATTENTION </w:t>
      </w:r>
      <w:r>
        <w:rPr>
          <w:color w:val="000000"/>
          <w:szCs w:val="20"/>
        </w:rPr>
        <w:t xml:space="preserve">: Les coordonnées indiquées dans les dossiers, et notamment les numéros de téléphone et les adresses mail, doivent être renseignées avec soin, et en utilisant des </w:t>
      </w:r>
      <w:r>
        <w:rPr>
          <w:color w:val="000000"/>
          <w:szCs w:val="20"/>
          <w:u w:val="single"/>
        </w:rPr>
        <w:t>numéros ou adresses valides</w:t>
      </w:r>
      <w:r>
        <w:rPr>
          <w:color w:val="000000"/>
          <w:szCs w:val="20"/>
        </w:rPr>
        <w:t>, car elles seront utilisées par l’acheteur pour correspondre avec le soumissionnaire en cas de besoin (compléments de candidature, demandes de précisions</w:t>
      </w:r>
      <w:r>
        <w:rPr>
          <w:szCs w:val="20"/>
        </w:rPr>
        <w:t>, négociation / régularisation, exécution</w:t>
      </w:r>
      <w:r>
        <w:rPr>
          <w:color w:val="000000"/>
          <w:szCs w:val="20"/>
        </w:rPr>
        <w:t>, etc.).</w:t>
      </w:r>
    </w:p>
    <w:p w14:paraId="55D3CBB8" w14:textId="77777777" w:rsidR="00ED1AA7" w:rsidRDefault="00ED1AA7">
      <w:pPr>
        <w:pBdr>
          <w:top w:val="single" w:sz="2" w:space="1" w:color="000000"/>
          <w:left w:val="single" w:sz="2" w:space="1" w:color="000000"/>
          <w:bottom w:val="single" w:sz="2" w:space="1" w:color="000000"/>
          <w:right w:val="single" w:sz="2" w:space="1" w:color="000000"/>
        </w:pBdr>
        <w:shd w:val="pct12" w:color="auto" w:fill="auto"/>
        <w:tabs>
          <w:tab w:val="left" w:pos="571"/>
        </w:tabs>
        <w:ind w:left="288" w:right="272"/>
        <w:rPr>
          <w:rFonts w:eastAsia="Arial" w:cs="Arial"/>
          <w:color w:val="000000"/>
          <w:szCs w:val="20"/>
        </w:rPr>
      </w:pPr>
    </w:p>
    <w:p w14:paraId="2D38B38F" w14:textId="45930FE9" w:rsidR="00ED1AA7" w:rsidRDefault="00E92B35">
      <w:pPr>
        <w:pBdr>
          <w:top w:val="single" w:sz="2" w:space="1" w:color="000000"/>
          <w:left w:val="single" w:sz="2" w:space="1" w:color="000000"/>
          <w:bottom w:val="single" w:sz="2" w:space="1" w:color="000000"/>
          <w:right w:val="single" w:sz="2" w:space="1" w:color="000000"/>
        </w:pBdr>
        <w:shd w:val="pct12" w:color="auto" w:fill="auto"/>
        <w:tabs>
          <w:tab w:val="left" w:pos="571"/>
        </w:tabs>
        <w:ind w:left="288" w:right="272"/>
        <w:rPr>
          <w:szCs w:val="20"/>
        </w:rPr>
      </w:pPr>
      <w:r>
        <w:rPr>
          <w:rFonts w:eastAsia="Arial" w:cs="Arial"/>
          <w:color w:val="000000"/>
          <w:szCs w:val="20"/>
        </w:rPr>
        <w:t xml:space="preserve">Les pièces signées (ex. : ATTRI1 et déclaration de sous-traitance) sont accompagnées </w:t>
      </w:r>
      <w:r>
        <w:rPr>
          <w:szCs w:val="20"/>
        </w:rPr>
        <w:t>de tout justificatif du pouvoir du ou des signataires d’engager la société (extrait K-Bis daté de moins de trois mois, délégation de pouvoir, etc.).</w:t>
      </w:r>
    </w:p>
    <w:p w14:paraId="6AF4171D" w14:textId="77777777" w:rsidR="00ED1AA7" w:rsidRDefault="00ED1AA7">
      <w:pPr>
        <w:tabs>
          <w:tab w:val="left" w:pos="571"/>
        </w:tabs>
        <w:rPr>
          <w:rFonts w:cs="Arial"/>
          <w:bCs/>
          <w:szCs w:val="20"/>
          <w:shd w:val="clear" w:color="auto" w:fill="FFFF00"/>
        </w:rPr>
      </w:pPr>
    </w:p>
    <w:p w14:paraId="3127AD25" w14:textId="54FB61A9" w:rsidR="00ED1AA7" w:rsidRDefault="00E92B35">
      <w:pPr>
        <w:pStyle w:val="Titre2"/>
      </w:pPr>
      <w:bookmarkStart w:id="18" w:name="_Toc233623657"/>
      <w:r>
        <w:t>5.1 Dossier de candidature</w:t>
      </w:r>
      <w:bookmarkEnd w:id="18"/>
    </w:p>
    <w:p w14:paraId="5A2A36C9" w14:textId="77777777" w:rsidR="00ED1AA7" w:rsidRDefault="00ED1AA7">
      <w:pPr>
        <w:tabs>
          <w:tab w:val="left" w:pos="568"/>
        </w:tabs>
        <w:ind w:left="284" w:right="-3" w:hanging="284"/>
      </w:pPr>
    </w:p>
    <w:p w14:paraId="636A425D" w14:textId="70DD4B65" w:rsidR="00ED1AA7" w:rsidRDefault="00E92B35">
      <w:pPr>
        <w:tabs>
          <w:tab w:val="left" w:pos="1069"/>
          <w:tab w:val="left" w:pos="1134"/>
        </w:tabs>
        <w:ind w:right="-3"/>
        <w:rPr>
          <w:rFonts w:cs="Arial"/>
          <w:bCs/>
          <w:szCs w:val="20"/>
          <w:u w:val="single"/>
        </w:rPr>
      </w:pPr>
      <w:r>
        <w:rPr>
          <w:rFonts w:cs="Arial"/>
          <w:bCs/>
          <w:szCs w:val="20"/>
        </w:rPr>
        <w:t>Conformément au code de la Commande publique, le soumissionnaire n'est pas tenu de fournir les renseignements ou documents justificatifs listés ci-dessous, ainsi que ceux listés à l’article 9 du présent RC, dès</w:t>
      </w:r>
      <w:r>
        <w:rPr>
          <w:bCs/>
        </w:rPr>
        <w:t xml:space="preserve"> lors que l’acheteur a la possibilité de les obtenir directement et gratuitement par le biais d'un système électronique de mise à disposition d'information administré par un organisme officiel, ou d'un espace de stockage numérique. Dans ce cas, le soumissionnaire fournit l'ensemble des informations nécessaires à la consultation de ces outils numériques (adresse, modalités, etc.).</w:t>
      </w:r>
    </w:p>
    <w:p w14:paraId="7E80C891" w14:textId="77777777" w:rsidR="00ED1AA7" w:rsidRDefault="00ED1AA7">
      <w:pPr>
        <w:tabs>
          <w:tab w:val="left" w:pos="1069"/>
          <w:tab w:val="left" w:pos="1134"/>
        </w:tabs>
        <w:ind w:right="-3"/>
        <w:rPr>
          <w:rFonts w:cs="Arial"/>
          <w:bCs/>
          <w:szCs w:val="20"/>
          <w:u w:val="single"/>
        </w:rPr>
      </w:pPr>
    </w:p>
    <w:p w14:paraId="2D9B5A43" w14:textId="77777777" w:rsidR="00ED1AA7" w:rsidRDefault="00E92B35">
      <w:pPr>
        <w:tabs>
          <w:tab w:val="left" w:pos="1069"/>
          <w:tab w:val="left" w:pos="1134"/>
        </w:tabs>
        <w:ind w:right="-3"/>
        <w:rPr>
          <w:rFonts w:cs="Arial"/>
          <w:bCs/>
          <w:szCs w:val="20"/>
          <w:u w:val="single"/>
        </w:rPr>
      </w:pPr>
      <w:r>
        <w:rPr>
          <w:bCs/>
        </w:rPr>
        <w:t>Le DC1 et le jugement de redressement judiciaire ne sont toutefois pas concernés par la disposition ci-dessus.</w:t>
      </w:r>
    </w:p>
    <w:p w14:paraId="3BE29248" w14:textId="77777777" w:rsidR="00ED1AA7" w:rsidRDefault="00ED1AA7">
      <w:pPr>
        <w:tabs>
          <w:tab w:val="left" w:pos="1069"/>
          <w:tab w:val="left" w:pos="1134"/>
        </w:tabs>
        <w:ind w:right="-3"/>
      </w:pPr>
    </w:p>
    <w:p w14:paraId="7E12BB1B" w14:textId="77777777" w:rsidR="00ED1AA7" w:rsidRDefault="00E92B35">
      <w:pPr>
        <w:widowControl/>
        <w:rPr>
          <w:szCs w:val="20"/>
        </w:rPr>
      </w:pPr>
      <w:r>
        <w:rPr>
          <w:szCs w:val="20"/>
        </w:rPr>
        <w:t xml:space="preserve">De plus, le soumissionnaire n’est pas tenu de fournir les documents et renseignements qu’il a déjà transmis à l’acheteur dans le cadre d’une précédente mise en concurrence et qui demeurent valables. Il doit alors indiquer précisément les références (n° donné par l’acheteur, ou objet et date de remise des offres) de la consultation correspondante. Le soumissionnaire ne pourra se prévaloir d’un quelconque manquement de l’acheteur en cas d’insuffisance des informations transmises. </w:t>
      </w:r>
    </w:p>
    <w:p w14:paraId="6DEBF9E4" w14:textId="77777777" w:rsidR="00ED1AA7" w:rsidRDefault="00ED1AA7">
      <w:pPr>
        <w:tabs>
          <w:tab w:val="left" w:pos="1069"/>
          <w:tab w:val="left" w:pos="1134"/>
        </w:tabs>
        <w:ind w:right="-3"/>
      </w:pPr>
    </w:p>
    <w:p w14:paraId="31325B05" w14:textId="4F2C5833" w:rsidR="00ED1AA7" w:rsidRDefault="00E92B35" w:rsidP="008F7EC5">
      <w:pPr>
        <w:pStyle w:val="Titre3"/>
        <w:numPr>
          <w:ilvl w:val="2"/>
          <w:numId w:val="7"/>
        </w:numPr>
        <w:rPr>
          <w:rFonts w:cs="Arial"/>
        </w:rPr>
      </w:pPr>
      <w:bookmarkStart w:id="19" w:name="_Toc233623658"/>
      <w:r>
        <w:t>Contenu</w:t>
      </w:r>
      <w:bookmarkEnd w:id="19"/>
    </w:p>
    <w:p w14:paraId="73DA8DD4" w14:textId="77777777" w:rsidR="00ED1AA7" w:rsidRDefault="00ED1AA7">
      <w:pPr>
        <w:rPr>
          <w:rFonts w:cs="Arial"/>
        </w:rPr>
      </w:pPr>
    </w:p>
    <w:p w14:paraId="487CAEA0" w14:textId="2D5B710A" w:rsidR="00ED1AA7" w:rsidRDefault="00E92B35">
      <w:pPr>
        <w:rPr>
          <w:b/>
          <w:strike/>
          <w:u w:val="single"/>
        </w:rPr>
      </w:pPr>
      <w:r>
        <w:rPr>
          <w:b/>
          <w:u w:val="single"/>
        </w:rPr>
        <w:t xml:space="preserve">Utilisation du DUME </w:t>
      </w:r>
    </w:p>
    <w:p w14:paraId="724418B9" w14:textId="77777777" w:rsidR="00ED1AA7" w:rsidRDefault="00ED1AA7">
      <w:pPr>
        <w:rPr>
          <w:rFonts w:cs="Arial"/>
          <w:szCs w:val="20"/>
        </w:rPr>
      </w:pPr>
    </w:p>
    <w:p w14:paraId="397560ED" w14:textId="25B88277" w:rsidR="00ED1AA7" w:rsidRDefault="00E92B35">
      <w:pPr>
        <w:rPr>
          <w:rFonts w:eastAsiaTheme="minorHAnsi" w:cs="Arial"/>
          <w:szCs w:val="20"/>
          <w:lang w:eastAsia="en-US" w:bidi="ar-SA"/>
        </w:rPr>
      </w:pPr>
      <w:r>
        <w:rPr>
          <w:rFonts w:eastAsiaTheme="minorHAnsi" w:cs="Arial"/>
          <w:szCs w:val="20"/>
          <w:lang w:eastAsia="en-US" w:bidi="ar-SA"/>
        </w:rPr>
        <w:t xml:space="preserve">Le document unique de marché européen (DUME) est une déclaration sur l’honneur harmonisée à l’échelle européenne, permettant de candidater à un marché public. </w:t>
      </w:r>
      <w:r>
        <w:rPr>
          <w:rFonts w:eastAsiaTheme="minorHAnsi" w:cs="Arial"/>
          <w:color w:val="000000"/>
          <w:szCs w:val="20"/>
          <w:lang w:eastAsia="en-US" w:bidi="ar-SA"/>
        </w:rPr>
        <w:t>Il remplace les autres formes de candidature (DC1 et DC2).</w:t>
      </w:r>
    </w:p>
    <w:p w14:paraId="344EF7EF" w14:textId="77777777" w:rsidR="00ED1AA7" w:rsidRDefault="00ED1AA7">
      <w:pPr>
        <w:rPr>
          <w:rFonts w:eastAsiaTheme="minorHAnsi" w:cs="Arial"/>
          <w:color w:val="000000"/>
          <w:szCs w:val="20"/>
          <w:lang w:eastAsia="en-US" w:bidi="ar-SA"/>
        </w:rPr>
      </w:pPr>
    </w:p>
    <w:p w14:paraId="548A5F71" w14:textId="77777777" w:rsidR="00ED1AA7" w:rsidRDefault="00E92B35">
      <w:pPr>
        <w:rPr>
          <w:rFonts w:eastAsiaTheme="minorHAnsi" w:cs="Arial"/>
          <w:color w:val="000000"/>
          <w:szCs w:val="20"/>
          <w:lang w:eastAsia="en-US" w:bidi="ar-SA"/>
        </w:rPr>
      </w:pPr>
      <w:r>
        <w:rPr>
          <w:rFonts w:eastAsiaTheme="minorHAnsi" w:cs="Arial"/>
          <w:color w:val="000000"/>
          <w:szCs w:val="20"/>
          <w:lang w:eastAsia="en-US" w:bidi="ar-SA"/>
        </w:rPr>
        <w:t xml:space="preserve">Le service DUME est disponible à l’adresse suivante : </w:t>
      </w:r>
      <w:hyperlink r:id="rId15" w:tooltip="https://dume.chorus-pro.gouv.fr" w:history="1">
        <w:r>
          <w:rPr>
            <w:rStyle w:val="Lienhypertexte"/>
            <w:rFonts w:eastAsiaTheme="minorHAnsi" w:cs="Arial"/>
            <w:szCs w:val="20"/>
            <w:lang w:eastAsia="en-US" w:bidi="ar-SA"/>
          </w:rPr>
          <w:t>https://dume.chorus-pro.gouv.fr</w:t>
        </w:r>
      </w:hyperlink>
      <w:r>
        <w:rPr>
          <w:rFonts w:eastAsiaTheme="minorHAnsi" w:cs="Arial"/>
          <w:color w:val="000000"/>
          <w:szCs w:val="20"/>
          <w:lang w:eastAsia="en-US" w:bidi="ar-SA"/>
        </w:rPr>
        <w:t xml:space="preserve"> </w:t>
      </w:r>
    </w:p>
    <w:p w14:paraId="6A9CD2F0" w14:textId="77777777" w:rsidR="00ED1AA7" w:rsidRDefault="00ED1AA7">
      <w:pPr>
        <w:rPr>
          <w:rFonts w:cs="Arial"/>
        </w:rPr>
      </w:pPr>
    </w:p>
    <w:p w14:paraId="1D55284B" w14:textId="4E8E8C6D" w:rsidR="00ED1AA7" w:rsidRDefault="00E92B35">
      <w:pPr>
        <w:rPr>
          <w:rFonts w:cs="Arial"/>
          <w:b/>
          <w:u w:val="single"/>
        </w:rPr>
      </w:pPr>
      <w:r>
        <w:rPr>
          <w:rFonts w:cs="Arial"/>
          <w:b/>
          <w:u w:val="single"/>
        </w:rPr>
        <w:t>OU</w:t>
      </w:r>
    </w:p>
    <w:p w14:paraId="3E832705" w14:textId="77777777" w:rsidR="00ED1AA7" w:rsidRDefault="00ED1AA7">
      <w:pPr>
        <w:rPr>
          <w:rFonts w:cs="Arial"/>
        </w:rPr>
      </w:pPr>
    </w:p>
    <w:p w14:paraId="32F59E4B" w14:textId="540A7E8B" w:rsidR="00ED1AA7" w:rsidRDefault="00E92B35" w:rsidP="008F7EC5">
      <w:pPr>
        <w:numPr>
          <w:ilvl w:val="0"/>
          <w:numId w:val="6"/>
        </w:numPr>
        <w:tabs>
          <w:tab w:val="left" w:pos="285"/>
        </w:tabs>
        <w:ind w:right="-3"/>
        <w:rPr>
          <w:color w:val="000000"/>
          <w:szCs w:val="20"/>
        </w:rPr>
      </w:pPr>
      <w:r>
        <w:rPr>
          <w:rFonts w:cs="Arial"/>
          <w:bCs/>
          <w:szCs w:val="20"/>
          <w:u w:val="single"/>
        </w:rPr>
        <w:t>DC1</w:t>
      </w:r>
      <w:r>
        <w:rPr>
          <w:rStyle w:val="Caractresdenotedebasdepage"/>
          <w:rFonts w:cs="Arial"/>
          <w:szCs w:val="20"/>
          <w:u w:val="single"/>
        </w:rPr>
        <w:footnoteReference w:id="1"/>
      </w:r>
      <w:r>
        <w:rPr>
          <w:rFonts w:cs="Arial"/>
          <w:szCs w:val="20"/>
          <w:u w:val="single"/>
        </w:rPr>
        <w:t>(ou document équivalent)</w:t>
      </w:r>
      <w:r>
        <w:rPr>
          <w:rFonts w:cs="Arial"/>
          <w:szCs w:val="20"/>
        </w:rPr>
        <w:t xml:space="preserve"> </w:t>
      </w:r>
      <w:r>
        <w:rPr>
          <w:rFonts w:eastAsia="Arial" w:cs="Arial"/>
          <w:szCs w:val="20"/>
        </w:rPr>
        <w:t xml:space="preserve">dûment complété et le </w:t>
      </w:r>
      <w:r>
        <w:rPr>
          <w:bCs/>
          <w:szCs w:val="20"/>
          <w:u w:val="single"/>
        </w:rPr>
        <w:t>DC2</w:t>
      </w:r>
      <w:r>
        <w:rPr>
          <w:bCs/>
          <w:szCs w:val="20"/>
        </w:rPr>
        <w:t xml:space="preserve"> dûment complété, et accompagné de ses pièces jointes, ou de toute autre pièce équivalente (permettant d'évaluer ses capacités matérielles, humaines et financières) au cas où le soumissionnaire serait une société nouvellement créée :</w:t>
      </w:r>
    </w:p>
    <w:p w14:paraId="13C669C2" w14:textId="770FB6B9" w:rsidR="00ED1AA7" w:rsidRDefault="00E92B35" w:rsidP="008F7EC5">
      <w:pPr>
        <w:numPr>
          <w:ilvl w:val="1"/>
          <w:numId w:val="6"/>
        </w:numPr>
        <w:tabs>
          <w:tab w:val="left" w:pos="285"/>
        </w:tabs>
        <w:ind w:right="-3"/>
        <w:rPr>
          <w:rFonts w:cs="Arial"/>
          <w:bCs/>
          <w:color w:val="000000"/>
          <w:szCs w:val="20"/>
        </w:rPr>
      </w:pPr>
      <w:r>
        <w:rPr>
          <w:rFonts w:cs="Arial"/>
          <w:bCs/>
          <w:color w:val="000000"/>
          <w:szCs w:val="20"/>
        </w:rPr>
        <w:t>copie du jugement prononcé si le soumissionnaire est en redressement judiciaire,</w:t>
      </w:r>
    </w:p>
    <w:p w14:paraId="3DD3E808" w14:textId="623FD268" w:rsidR="00ED1AA7" w:rsidRDefault="00E92B35" w:rsidP="008F7EC5">
      <w:pPr>
        <w:numPr>
          <w:ilvl w:val="1"/>
          <w:numId w:val="6"/>
        </w:numPr>
        <w:tabs>
          <w:tab w:val="left" w:pos="285"/>
        </w:tabs>
        <w:ind w:right="-3"/>
        <w:rPr>
          <w:rFonts w:cs="Arial"/>
          <w:bCs/>
          <w:color w:val="000000"/>
          <w:szCs w:val="20"/>
        </w:rPr>
      </w:pPr>
      <w:r>
        <w:rPr>
          <w:color w:val="000000"/>
        </w:rPr>
        <w:t>chiffre d'affaires réalisé au cours des trois derniers exercices disponibles,</w:t>
      </w:r>
    </w:p>
    <w:p w14:paraId="0579495C" w14:textId="1E356DA2" w:rsidR="00ED1AA7" w:rsidRDefault="00E92B35" w:rsidP="008F7EC5">
      <w:pPr>
        <w:numPr>
          <w:ilvl w:val="1"/>
          <w:numId w:val="6"/>
        </w:numPr>
        <w:tabs>
          <w:tab w:val="left" w:pos="285"/>
        </w:tabs>
        <w:ind w:right="-3"/>
        <w:rPr>
          <w:rFonts w:cs="Arial"/>
          <w:bCs/>
          <w:color w:val="000000"/>
          <w:szCs w:val="20"/>
        </w:rPr>
      </w:pPr>
      <w:r>
        <w:rPr>
          <w:color w:val="000000"/>
        </w:rPr>
        <w:t>effectifs moyens annuels du soumissionnaire et importance du personnel d'encadrement pour chacune des trois dernières années,</w:t>
      </w:r>
    </w:p>
    <w:p w14:paraId="0FF8E145" w14:textId="397D432B" w:rsidR="00ED1AA7" w:rsidRDefault="00E92B35" w:rsidP="008F7EC5">
      <w:pPr>
        <w:numPr>
          <w:ilvl w:val="1"/>
          <w:numId w:val="6"/>
        </w:numPr>
        <w:tabs>
          <w:tab w:val="left" w:pos="285"/>
        </w:tabs>
        <w:ind w:right="-3"/>
        <w:rPr>
          <w:rFonts w:cs="Arial"/>
          <w:bCs/>
          <w:szCs w:val="20"/>
        </w:rPr>
      </w:pPr>
      <w:r>
        <w:t xml:space="preserve">liste des </w:t>
      </w:r>
      <w:r>
        <w:rPr>
          <w:rFonts w:eastAsia="CommercialPi BT" w:cs="Arial"/>
          <w:bCs/>
          <w:szCs w:val="20"/>
        </w:rPr>
        <w:t xml:space="preserve">principaux services fournis </w:t>
      </w:r>
      <w:r>
        <w:t xml:space="preserve">au cours des trois dernières années, </w:t>
      </w:r>
      <w:r>
        <w:rPr>
          <w:bCs/>
          <w:szCs w:val="20"/>
        </w:rPr>
        <w:t>en indiquant leur montant et les coordonnées des clients concernés,</w:t>
      </w:r>
    </w:p>
    <w:p w14:paraId="315B3A76" w14:textId="1A8B76AA" w:rsidR="00ED1AA7" w:rsidRDefault="00E92B35" w:rsidP="008F7EC5">
      <w:pPr>
        <w:numPr>
          <w:ilvl w:val="1"/>
          <w:numId w:val="6"/>
        </w:numPr>
        <w:tabs>
          <w:tab w:val="left" w:pos="285"/>
        </w:tabs>
        <w:ind w:right="-3"/>
        <w:rPr>
          <w:rFonts w:cs="Arial"/>
          <w:bCs/>
          <w:szCs w:val="20"/>
        </w:rPr>
      </w:pPr>
      <w:r>
        <w:t>outillage, matériel et équipement technique dont le soumissionnaire dispose,</w:t>
      </w:r>
    </w:p>
    <w:p w14:paraId="13DE7C83" w14:textId="14426F23" w:rsidR="00ED1AA7" w:rsidRDefault="00E92B35" w:rsidP="008F7EC5">
      <w:pPr>
        <w:numPr>
          <w:ilvl w:val="1"/>
          <w:numId w:val="6"/>
        </w:numPr>
        <w:tabs>
          <w:tab w:val="left" w:pos="284"/>
        </w:tabs>
        <w:ind w:right="-3"/>
        <w:rPr>
          <w:rFonts w:cs="Arial"/>
          <w:bCs/>
          <w:szCs w:val="20"/>
        </w:rPr>
      </w:pPr>
      <w:r>
        <w:t xml:space="preserve">certificats de qualifications professionnelles, </w:t>
      </w:r>
      <w:r>
        <w:rPr>
          <w:b/>
        </w:rPr>
        <w:t>ou équivalent</w:t>
      </w:r>
      <w:r>
        <w:t>,</w:t>
      </w:r>
    </w:p>
    <w:p w14:paraId="4EBE32BA" w14:textId="77777777" w:rsidR="00ED1AA7" w:rsidRDefault="00ED1AA7">
      <w:pPr>
        <w:tabs>
          <w:tab w:val="left" w:pos="284"/>
        </w:tabs>
        <w:ind w:right="-3"/>
        <w:rPr>
          <w:rFonts w:cs="Arial"/>
          <w:bCs/>
          <w:color w:val="000000"/>
          <w:szCs w:val="20"/>
        </w:rPr>
      </w:pPr>
    </w:p>
    <w:p w14:paraId="71ACD612" w14:textId="20157D84" w:rsidR="00ED1AA7" w:rsidRDefault="00E92B35">
      <w:pPr>
        <w:tabs>
          <w:tab w:val="left" w:pos="284"/>
        </w:tabs>
        <w:ind w:right="-3"/>
        <w:rPr>
          <w:rFonts w:cs="Arial"/>
          <w:bCs/>
          <w:color w:val="000000"/>
          <w:szCs w:val="20"/>
        </w:rPr>
      </w:pPr>
      <w:r>
        <w:rPr>
          <w:rFonts w:cs="Arial"/>
          <w:bCs/>
          <w:color w:val="000000"/>
          <w:szCs w:val="20"/>
        </w:rPr>
        <w:t>L’attention des candidats est attirée sur le fait que les documents de candidature à produire détaillés supra doivent être présentés pièce par pièce, dans des fichiers distincts et non pas regroupés en un seul et unique fichier.</w:t>
      </w:r>
    </w:p>
    <w:p w14:paraId="64EF4AB5" w14:textId="77777777" w:rsidR="00ED1AA7" w:rsidRDefault="00ED1AA7">
      <w:pPr>
        <w:rPr>
          <w:rFonts w:cs="Arial"/>
          <w:szCs w:val="20"/>
        </w:rPr>
      </w:pPr>
    </w:p>
    <w:p w14:paraId="18667167" w14:textId="77777777" w:rsidR="00ED1AA7" w:rsidRDefault="00ED1AA7">
      <w:pPr>
        <w:rPr>
          <w:rFonts w:cs="Arial"/>
          <w:szCs w:val="20"/>
        </w:rPr>
      </w:pPr>
    </w:p>
    <w:p w14:paraId="446D4A34" w14:textId="77777777" w:rsidR="00ED1AA7" w:rsidRDefault="00E92B35" w:rsidP="008F7EC5">
      <w:pPr>
        <w:pStyle w:val="Titre3"/>
        <w:numPr>
          <w:ilvl w:val="2"/>
          <w:numId w:val="7"/>
        </w:numPr>
      </w:pPr>
      <w:bookmarkStart w:id="20" w:name="_Toc152574936"/>
      <w:bookmarkStart w:id="21" w:name="_Toc233623659"/>
      <w:r>
        <w:t>Motifs d’exclusions</w:t>
      </w:r>
      <w:bookmarkEnd w:id="20"/>
      <w:bookmarkEnd w:id="21"/>
    </w:p>
    <w:p w14:paraId="2FC4963E" w14:textId="77777777" w:rsidR="00ED1AA7" w:rsidRDefault="00ED1AA7">
      <w:pPr>
        <w:tabs>
          <w:tab w:val="left" w:pos="285"/>
        </w:tabs>
        <w:ind w:left="1440" w:right="-3"/>
        <w:jc w:val="left"/>
        <w:rPr>
          <w:rFonts w:cs="Arial"/>
          <w:bCs/>
          <w:color w:val="000000"/>
          <w:szCs w:val="20"/>
        </w:rPr>
      </w:pPr>
    </w:p>
    <w:p w14:paraId="23C48AD6" w14:textId="77777777" w:rsidR="00ED1AA7" w:rsidRDefault="00E92B35">
      <w:pPr>
        <w:widowControl/>
        <w:rPr>
          <w:rFonts w:eastAsiaTheme="minorHAnsi" w:cs="Arial"/>
          <w:color w:val="000000"/>
          <w:szCs w:val="20"/>
          <w:lang w:eastAsia="en-US" w:bidi="ar-SA"/>
        </w:rPr>
      </w:pPr>
      <w:r>
        <w:rPr>
          <w:rFonts w:eastAsiaTheme="minorHAnsi" w:cs="Arial"/>
          <w:color w:val="000000"/>
          <w:szCs w:val="20"/>
          <w:lang w:eastAsia="en-US" w:bidi="ar-SA"/>
        </w:rPr>
        <w:t>Les exclusions des procédures de passation « de plein droit » prévues aux articles L. 2141-1 à L. 2141-5 et L. 2341-3 du code de la commande publique, s’agissant des marchés et aux articles L. 3123-1 à L. 3123-5 et L. 3123-12 à L. 3123-13, s’agissant des contrats de concession, sont celles qui reposent sur la commission d’infractions ou de comportements qui ont été constatés par une personne extérieure à l’acheteur ou à l’autorité concédante, qui n’agissait pas elle-même en tant qu’acheteur ou autorité concédante et intervenus en dehors de la procédure de passation du marché public. Il s’agit :</w:t>
      </w:r>
    </w:p>
    <w:p w14:paraId="460F0411" w14:textId="77777777" w:rsidR="00ED1AA7" w:rsidRDefault="00ED1AA7">
      <w:pPr>
        <w:tabs>
          <w:tab w:val="left" w:pos="285"/>
        </w:tabs>
        <w:ind w:left="1440" w:right="-3"/>
        <w:jc w:val="left"/>
        <w:rPr>
          <w:rFonts w:cs="Arial"/>
          <w:bCs/>
          <w:color w:val="000000"/>
          <w:szCs w:val="20"/>
        </w:rPr>
      </w:pPr>
    </w:p>
    <w:p w14:paraId="491BCF3A" w14:textId="77777777" w:rsidR="00ED1AA7" w:rsidRDefault="00E92B35">
      <w:pPr>
        <w:widowControl/>
        <w:spacing w:after="89"/>
        <w:ind w:left="720"/>
        <w:rPr>
          <w:rFonts w:eastAsiaTheme="minorHAnsi" w:cs="Arial"/>
          <w:color w:val="000000"/>
          <w:szCs w:val="20"/>
          <w:lang w:eastAsia="en-US" w:bidi="ar-SA"/>
        </w:rPr>
      </w:pPr>
      <w:r>
        <w:rPr>
          <w:rFonts w:eastAsiaTheme="minorHAnsi" w:cs="Arial"/>
          <w:color w:val="000000"/>
          <w:szCs w:val="20"/>
          <w:lang w:eastAsia="en-US" w:bidi="ar-SA"/>
        </w:rPr>
        <w:t xml:space="preserve">•   des peines prononcées par un juge pénal (Art. L. 2141-1, 1° et 3° de l’art. L. 2141-4 et 1° et 2° de l’art. L2341-3) ; </w:t>
      </w:r>
    </w:p>
    <w:p w14:paraId="4AE9AFBF" w14:textId="77777777" w:rsidR="00ED1AA7" w:rsidRDefault="00E92B35">
      <w:pPr>
        <w:widowControl/>
        <w:spacing w:after="89"/>
        <w:ind w:left="720"/>
        <w:rPr>
          <w:rFonts w:eastAsiaTheme="minorHAnsi" w:cs="Arial"/>
          <w:color w:val="000000"/>
          <w:szCs w:val="20"/>
          <w:lang w:eastAsia="en-US" w:bidi="ar-SA"/>
        </w:rPr>
      </w:pPr>
      <w:r>
        <w:rPr>
          <w:rFonts w:eastAsiaTheme="minorHAnsi" w:cs="Arial"/>
          <w:color w:val="000000"/>
          <w:szCs w:val="20"/>
          <w:lang w:eastAsia="en-US" w:bidi="ar-SA"/>
        </w:rPr>
        <w:t xml:space="preserve">• des défauts de régularité au regard des obligations sociales ou fiscales, constatés soit par un juge, soit par les administrations chargées du recouvrement des impôts, cotisations et contributions sociales, soit par les services d’inspection du travail et assimilés (Art. L. 2141-2 et 2° de l’art. L. 2141-4) ; </w:t>
      </w:r>
    </w:p>
    <w:p w14:paraId="02081DC3" w14:textId="77777777" w:rsidR="00ED1AA7" w:rsidRDefault="00E92B35">
      <w:pPr>
        <w:widowControl/>
        <w:spacing w:after="89"/>
        <w:ind w:left="720"/>
        <w:rPr>
          <w:rFonts w:eastAsiaTheme="minorHAnsi" w:cs="Arial"/>
          <w:color w:val="000000"/>
          <w:szCs w:val="20"/>
          <w:lang w:eastAsia="en-US" w:bidi="ar-SA"/>
        </w:rPr>
      </w:pPr>
      <w:r>
        <w:rPr>
          <w:rFonts w:eastAsiaTheme="minorHAnsi" w:cs="Arial"/>
          <w:color w:val="000000"/>
          <w:szCs w:val="20"/>
          <w:lang w:eastAsia="en-US" w:bidi="ar-SA"/>
        </w:rPr>
        <w:t xml:space="preserve">• des états de liquidations judiciaires, de faillites, de redressement judiciaire constatés par le tribunal de commerce (Art. L. 2141-3) ; </w:t>
      </w:r>
    </w:p>
    <w:p w14:paraId="0C6A807C" w14:textId="77777777" w:rsidR="00ED1AA7" w:rsidRDefault="00E92B35">
      <w:pPr>
        <w:widowControl/>
        <w:ind w:left="720"/>
        <w:rPr>
          <w:rFonts w:eastAsiaTheme="minorHAnsi" w:cs="Arial"/>
          <w:color w:val="000000"/>
          <w:szCs w:val="20"/>
          <w:lang w:eastAsia="en-US" w:bidi="ar-SA"/>
        </w:rPr>
      </w:pPr>
      <w:r>
        <w:rPr>
          <w:rFonts w:eastAsiaTheme="minorHAnsi" w:cs="Arial"/>
          <w:color w:val="000000"/>
          <w:szCs w:val="20"/>
          <w:lang w:eastAsia="en-US" w:bidi="ar-SA"/>
        </w:rPr>
        <w:t xml:space="preserve">• de la violation des règles relatives à la lutte contre le travail illégal, constatées par les services de l’inspection du travail et assimilés ou rapportés par ces derniers aux représentants de l’État (1° de l’art. L. 2141-4 et L. 2141-5). </w:t>
      </w:r>
    </w:p>
    <w:p w14:paraId="6CCFC2D4" w14:textId="77777777" w:rsidR="00ED1AA7" w:rsidRDefault="00ED1AA7">
      <w:pPr>
        <w:widowControl/>
        <w:ind w:left="720"/>
        <w:jc w:val="left"/>
        <w:rPr>
          <w:rFonts w:eastAsiaTheme="minorHAnsi" w:cs="Arial"/>
          <w:color w:val="000000"/>
          <w:szCs w:val="20"/>
          <w:lang w:eastAsia="en-US" w:bidi="ar-SA"/>
        </w:rPr>
      </w:pPr>
    </w:p>
    <w:p w14:paraId="79722F2C" w14:textId="77777777" w:rsidR="00ED1AA7" w:rsidRDefault="00E92B35">
      <w:pPr>
        <w:widowControl/>
        <w:rPr>
          <w:rFonts w:eastAsiaTheme="minorHAnsi" w:cs="Arial"/>
          <w:color w:val="000000"/>
          <w:szCs w:val="20"/>
          <w:lang w:eastAsia="en-US" w:bidi="ar-SA"/>
        </w:rPr>
      </w:pPr>
      <w:r>
        <w:rPr>
          <w:rFonts w:eastAsiaTheme="minorHAnsi" w:cs="Arial"/>
          <w:color w:val="000000"/>
          <w:szCs w:val="20"/>
          <w:lang w:eastAsia="en-US" w:bidi="ar-SA"/>
        </w:rPr>
        <w:t xml:space="preserve">Les exclusions des procédures de passation « à l’appréciation de l’acheteur » des articles L. 2141-7 à L. 2141-11 et L. 3123-7 à L. 3123-11 du code de la commande publique sont celles qui reposent sur des fait qui : </w:t>
      </w:r>
    </w:p>
    <w:p w14:paraId="2C8898C1" w14:textId="77777777" w:rsidR="00ED1AA7" w:rsidRDefault="00ED1AA7">
      <w:pPr>
        <w:widowControl/>
        <w:rPr>
          <w:rFonts w:ascii="Marianne" w:eastAsiaTheme="minorHAnsi" w:hAnsi="Marianne" w:cs="Marianne"/>
          <w:color w:val="000000"/>
          <w:sz w:val="17"/>
          <w:szCs w:val="17"/>
          <w:lang w:eastAsia="en-US" w:bidi="ar-SA"/>
        </w:rPr>
      </w:pPr>
    </w:p>
    <w:p w14:paraId="0F590200" w14:textId="77777777" w:rsidR="00ED1AA7" w:rsidRDefault="00E92B35">
      <w:pPr>
        <w:widowControl/>
        <w:spacing w:after="89"/>
        <w:ind w:left="720"/>
        <w:rPr>
          <w:rFonts w:eastAsiaTheme="minorHAnsi" w:cs="Arial"/>
          <w:color w:val="000000"/>
          <w:szCs w:val="20"/>
          <w:lang w:eastAsia="en-US" w:bidi="ar-SA"/>
        </w:rPr>
      </w:pPr>
      <w:r>
        <w:rPr>
          <w:rFonts w:eastAsiaTheme="minorHAnsi" w:cs="Arial"/>
          <w:color w:val="000000"/>
          <w:szCs w:val="20"/>
          <w:lang w:eastAsia="en-US" w:bidi="ar-SA"/>
        </w:rPr>
        <w:t xml:space="preserve">• soit sont constatés par l’acheteur qui mène la procédure ou par un autre acheteur au cours d’une procédure d’attribution du marché publics (Art. L. 2141-8 à L. 2141-10) ; </w:t>
      </w:r>
    </w:p>
    <w:p w14:paraId="64AE8454" w14:textId="77777777" w:rsidR="00ED1AA7" w:rsidRDefault="00E92B35">
      <w:pPr>
        <w:widowControl/>
        <w:spacing w:after="89"/>
        <w:ind w:left="720"/>
        <w:rPr>
          <w:rFonts w:eastAsiaTheme="minorHAnsi" w:cs="Arial"/>
          <w:color w:val="000000"/>
          <w:szCs w:val="20"/>
          <w:lang w:eastAsia="en-US" w:bidi="ar-SA"/>
        </w:rPr>
      </w:pPr>
      <w:r>
        <w:rPr>
          <w:rFonts w:eastAsiaTheme="minorHAnsi" w:cs="Arial"/>
          <w:color w:val="000000"/>
          <w:szCs w:val="20"/>
          <w:lang w:eastAsia="en-US" w:bidi="ar-SA"/>
        </w:rPr>
        <w:t xml:space="preserve">• soit ont été constatés par un acheteur ou une autorité concédante au cours de l’exécution d’un contrat de la commande publique (Art. L. 2141-7). </w:t>
      </w:r>
    </w:p>
    <w:p w14:paraId="5F97C111" w14:textId="77777777" w:rsidR="00ED1AA7" w:rsidRDefault="00ED1AA7">
      <w:pPr>
        <w:rPr>
          <w:rFonts w:cs="Arial"/>
          <w:szCs w:val="20"/>
        </w:rPr>
      </w:pPr>
    </w:p>
    <w:p w14:paraId="7070676B" w14:textId="77777777" w:rsidR="00ED1AA7" w:rsidRDefault="00E92B35" w:rsidP="008F7EC5">
      <w:pPr>
        <w:pStyle w:val="Titre3"/>
        <w:numPr>
          <w:ilvl w:val="2"/>
          <w:numId w:val="7"/>
        </w:numPr>
      </w:pPr>
      <w:bookmarkStart w:id="22" w:name="_Toc233623660"/>
      <w:r>
        <w:t>Réponse sous forme groupée</w:t>
      </w:r>
      <w:bookmarkEnd w:id="22"/>
    </w:p>
    <w:p w14:paraId="233C65C4" w14:textId="77777777" w:rsidR="00ED1AA7" w:rsidRDefault="00ED1AA7"/>
    <w:p w14:paraId="5F18C746" w14:textId="77777777" w:rsidR="00ED1AA7" w:rsidRDefault="00E92B35">
      <w:pPr>
        <w:widowControl/>
        <w:shd w:val="clear" w:color="auto" w:fill="FFFFFF"/>
        <w:jc w:val="left"/>
        <w:rPr>
          <w:rFonts w:eastAsia="Arial" w:cs="Arial"/>
          <w:szCs w:val="20"/>
          <w:lang w:eastAsia="en-US" w:bidi="ar-SA"/>
        </w:rPr>
      </w:pPr>
      <w:r>
        <w:rPr>
          <w:rFonts w:eastAsia="Arial" w:cs="Arial"/>
          <w:b/>
          <w:bCs/>
          <w:szCs w:val="20"/>
          <w:lang w:eastAsia="en-US" w:bidi="ar-SA"/>
        </w:rPr>
        <w:t>En cas de réponse avec un ou plusieurs co-traitants (en groupement)</w:t>
      </w:r>
    </w:p>
    <w:p w14:paraId="54A1B5AD" w14:textId="77777777" w:rsidR="00ED1AA7" w:rsidRDefault="00ED1AA7">
      <w:pPr>
        <w:widowControl/>
        <w:shd w:val="clear" w:color="auto" w:fill="FFFFFF"/>
        <w:jc w:val="left"/>
        <w:rPr>
          <w:rFonts w:eastAsia="Arial" w:cs="Arial"/>
          <w:szCs w:val="20"/>
          <w:lang w:eastAsia="en-US" w:bidi="ar-SA"/>
        </w:rPr>
      </w:pPr>
    </w:p>
    <w:p w14:paraId="5AC3813E" w14:textId="77777777" w:rsidR="00ED1AA7" w:rsidRDefault="00E92B35">
      <w:pPr>
        <w:shd w:val="clear" w:color="auto" w:fill="FFFFFF"/>
        <w:rPr>
          <w:u w:val="single"/>
        </w:rPr>
      </w:pPr>
      <w:r>
        <w:rPr>
          <w:rFonts w:eastAsia="Arial" w:cs="Arial"/>
          <w:bCs/>
          <w:szCs w:val="20"/>
          <w:u w:val="single"/>
          <w:lang w:eastAsia="en-US" w:bidi="ar-SA"/>
        </w:rPr>
        <w:t>R</w:t>
      </w:r>
      <w:r>
        <w:rPr>
          <w:u w:val="single"/>
        </w:rPr>
        <w:t xml:space="preserve">ègle générale : </w:t>
      </w:r>
    </w:p>
    <w:p w14:paraId="194207BC" w14:textId="77777777" w:rsidR="00ED1AA7" w:rsidRDefault="00ED1AA7">
      <w:pPr>
        <w:widowControl/>
        <w:shd w:val="clear" w:color="auto" w:fill="FFFFFF"/>
        <w:spacing w:before="5"/>
        <w:rPr>
          <w:rFonts w:eastAsia="Arial" w:cs="Arial"/>
          <w:b/>
          <w:szCs w:val="20"/>
          <w:highlight w:val="yellow"/>
          <w:lang w:eastAsia="en-US" w:bidi="ar-SA"/>
        </w:rPr>
      </w:pPr>
    </w:p>
    <w:p w14:paraId="152F7378" w14:textId="7659591F" w:rsidR="00ED1AA7" w:rsidRDefault="00E92B35">
      <w:pPr>
        <w:widowControl/>
        <w:shd w:val="clear" w:color="auto" w:fill="FFFFFF"/>
        <w:rPr>
          <w:rFonts w:eastAsia="Arial" w:cs="Arial"/>
          <w:szCs w:val="20"/>
          <w:lang w:eastAsia="en-US" w:bidi="ar-SA"/>
        </w:rPr>
      </w:pPr>
      <w:r>
        <w:rPr>
          <w:rFonts w:eastAsia="Arial" w:cs="Arial"/>
          <w:szCs w:val="20"/>
          <w:shd w:val="clear" w:color="auto" w:fill="FFFFFF"/>
          <w:lang w:eastAsia="en-US" w:bidi="ar-SA"/>
        </w:rPr>
        <w:t>Conformément à l'article R. 2142-21 du code de la Commande publique, il est interdit</w:t>
      </w:r>
      <w:r>
        <w:rPr>
          <w:rFonts w:eastAsia="Arial" w:cs="Arial"/>
          <w:szCs w:val="20"/>
          <w:lang w:eastAsia="en-US" w:bidi="ar-SA"/>
        </w:rPr>
        <w:t xml:space="preserve"> de présenter plusieurs offres en agissant à la fois :</w:t>
      </w:r>
    </w:p>
    <w:p w14:paraId="2D620EEA" w14:textId="77777777" w:rsidR="00ED1AA7" w:rsidRDefault="00ED1AA7">
      <w:pPr>
        <w:widowControl/>
        <w:shd w:val="clear" w:color="auto" w:fill="FFFFFF"/>
        <w:rPr>
          <w:rFonts w:eastAsia="Arial" w:cs="Arial"/>
          <w:szCs w:val="20"/>
          <w:lang w:eastAsia="en-US" w:bidi="ar-SA"/>
        </w:rPr>
      </w:pPr>
    </w:p>
    <w:p w14:paraId="586D7099" w14:textId="77777777" w:rsidR="00ED1AA7" w:rsidRDefault="00E92B35" w:rsidP="008F7EC5">
      <w:pPr>
        <w:widowControl/>
        <w:numPr>
          <w:ilvl w:val="0"/>
          <w:numId w:val="6"/>
        </w:numPr>
        <w:shd w:val="clear" w:color="auto" w:fill="FFFFFF"/>
        <w:rPr>
          <w:rFonts w:eastAsia="Arial" w:cs="Arial"/>
          <w:szCs w:val="20"/>
          <w:lang w:eastAsia="en-US" w:bidi="ar-SA"/>
        </w:rPr>
      </w:pPr>
      <w:r>
        <w:rPr>
          <w:rFonts w:eastAsia="Arial" w:cs="Arial"/>
          <w:szCs w:val="20"/>
          <w:lang w:eastAsia="en-US" w:bidi="ar-SA"/>
        </w:rPr>
        <w:t>en qualité de candidat individuel et de membre d'un ou plusieurs</w:t>
      </w:r>
      <w:r>
        <w:rPr>
          <w:rFonts w:eastAsia="Arial" w:cs="Arial"/>
          <w:spacing w:val="-34"/>
          <w:szCs w:val="20"/>
          <w:lang w:eastAsia="en-US" w:bidi="ar-SA"/>
        </w:rPr>
        <w:t xml:space="preserve"> </w:t>
      </w:r>
      <w:r>
        <w:rPr>
          <w:rFonts w:eastAsia="Arial" w:cs="Arial"/>
          <w:szCs w:val="20"/>
          <w:lang w:eastAsia="en-US" w:bidi="ar-SA"/>
        </w:rPr>
        <w:t>groupements,</w:t>
      </w:r>
    </w:p>
    <w:p w14:paraId="79858BA6" w14:textId="77777777" w:rsidR="00ED1AA7" w:rsidRDefault="00E92B35" w:rsidP="008F7EC5">
      <w:pPr>
        <w:widowControl/>
        <w:numPr>
          <w:ilvl w:val="0"/>
          <w:numId w:val="6"/>
        </w:numPr>
        <w:shd w:val="clear" w:color="auto" w:fill="FFFFFF"/>
        <w:rPr>
          <w:rFonts w:eastAsia="Arial" w:cs="Arial"/>
          <w:szCs w:val="20"/>
          <w:lang w:eastAsia="en-US" w:bidi="ar-SA"/>
        </w:rPr>
      </w:pPr>
      <w:r>
        <w:rPr>
          <w:rFonts w:eastAsia="Arial" w:cs="Arial"/>
          <w:szCs w:val="20"/>
          <w:lang w:eastAsia="en-US" w:bidi="ar-SA"/>
        </w:rPr>
        <w:t>en qualité de membre de plusieurs</w:t>
      </w:r>
      <w:r>
        <w:rPr>
          <w:rFonts w:eastAsia="Arial" w:cs="Arial"/>
          <w:spacing w:val="-19"/>
          <w:szCs w:val="20"/>
          <w:lang w:eastAsia="en-US" w:bidi="ar-SA"/>
        </w:rPr>
        <w:t xml:space="preserve"> </w:t>
      </w:r>
      <w:r>
        <w:rPr>
          <w:rFonts w:eastAsia="Arial" w:cs="Arial"/>
          <w:szCs w:val="20"/>
          <w:lang w:eastAsia="en-US" w:bidi="ar-SA"/>
        </w:rPr>
        <w:t>groupements.</w:t>
      </w:r>
    </w:p>
    <w:p w14:paraId="134B58FE" w14:textId="77777777" w:rsidR="00ED1AA7" w:rsidRDefault="00ED1AA7">
      <w:pPr>
        <w:widowControl/>
        <w:shd w:val="clear" w:color="auto" w:fill="FFFFFF"/>
        <w:rPr>
          <w:rFonts w:eastAsia="Arial" w:cs="Arial"/>
          <w:szCs w:val="20"/>
          <w:lang w:eastAsia="en-US" w:bidi="ar-SA"/>
        </w:rPr>
      </w:pPr>
    </w:p>
    <w:p w14:paraId="4CA1BB26" w14:textId="32677AE5" w:rsidR="00ED1AA7" w:rsidRDefault="00E92B35">
      <w:pPr>
        <w:rPr>
          <w:lang w:eastAsia="en-US" w:bidi="ar-SA"/>
        </w:rPr>
      </w:pPr>
      <w:r>
        <w:rPr>
          <w:lang w:eastAsia="en-US" w:bidi="ar-SA"/>
        </w:rPr>
        <w:t>L’acheteur se réserve le droit d’imposer, en cas de groupement conjoint, la solidarité du mandataire au jour de l’attribution du contrat.</w:t>
      </w:r>
    </w:p>
    <w:p w14:paraId="73958774" w14:textId="77777777" w:rsidR="00ED1AA7" w:rsidRDefault="00ED1AA7">
      <w:pPr>
        <w:widowControl/>
        <w:jc w:val="left"/>
        <w:rPr>
          <w:rFonts w:eastAsia="Arial" w:cs="Arial"/>
          <w:b/>
          <w:szCs w:val="20"/>
          <w:highlight w:val="yellow"/>
          <w:lang w:eastAsia="en-US" w:bidi="ar-SA"/>
        </w:rPr>
      </w:pPr>
    </w:p>
    <w:p w14:paraId="4A7A6780" w14:textId="77777777" w:rsidR="00ED1AA7" w:rsidRDefault="00E92B35">
      <w:pPr>
        <w:widowControl/>
        <w:spacing w:before="1"/>
        <w:jc w:val="left"/>
        <w:rPr>
          <w:rFonts w:eastAsia="Arial" w:cs="Arial"/>
          <w:szCs w:val="20"/>
          <w:u w:val="single"/>
          <w:lang w:eastAsia="en-US" w:bidi="ar-SA"/>
        </w:rPr>
      </w:pPr>
      <w:r>
        <w:rPr>
          <w:rFonts w:eastAsia="Arial" w:cs="Arial"/>
          <w:szCs w:val="20"/>
          <w:u w:val="single"/>
          <w:lang w:eastAsia="en-US" w:bidi="ar-SA"/>
        </w:rPr>
        <w:t>Modalités de réponse</w:t>
      </w:r>
    </w:p>
    <w:p w14:paraId="1967854A" w14:textId="77777777" w:rsidR="00ED1AA7" w:rsidRDefault="00ED1AA7">
      <w:pPr>
        <w:widowControl/>
        <w:shd w:val="clear" w:color="auto" w:fill="FFFFFF"/>
        <w:spacing w:line="229" w:lineRule="exact"/>
        <w:jc w:val="left"/>
        <w:rPr>
          <w:rFonts w:eastAsia="Arial" w:cs="Arial"/>
          <w:szCs w:val="20"/>
          <w:shd w:val="clear" w:color="auto" w:fill="FFFFFF"/>
          <w:lang w:eastAsia="en-US" w:bidi="ar-SA"/>
        </w:rPr>
      </w:pPr>
    </w:p>
    <w:p w14:paraId="483D1838" w14:textId="337118BD" w:rsidR="00ED1AA7" w:rsidRDefault="00E92B35">
      <w:pPr>
        <w:widowControl/>
        <w:shd w:val="clear" w:color="auto" w:fill="FFFFFF"/>
        <w:spacing w:line="229" w:lineRule="exact"/>
        <w:jc w:val="left"/>
        <w:rPr>
          <w:rFonts w:eastAsia="Arial" w:cs="Arial"/>
          <w:szCs w:val="20"/>
          <w:shd w:val="clear" w:color="auto" w:fill="FFFFFF"/>
          <w:lang w:eastAsia="en-US" w:bidi="ar-SA"/>
        </w:rPr>
      </w:pPr>
      <w:r>
        <w:rPr>
          <w:rFonts w:eastAsia="Arial" w:cs="Arial"/>
          <w:szCs w:val="20"/>
          <w:shd w:val="clear" w:color="auto" w:fill="FFFFFF"/>
          <w:lang w:eastAsia="en-US" w:bidi="ar-SA"/>
        </w:rPr>
        <w:t>Un DUME-CHORUS pour chaque membre du groupement</w:t>
      </w:r>
    </w:p>
    <w:p w14:paraId="6AD6F090" w14:textId="77777777" w:rsidR="00ED1AA7" w:rsidRDefault="00ED1AA7">
      <w:pPr>
        <w:widowControl/>
        <w:shd w:val="clear" w:color="auto" w:fill="FFFFFF"/>
        <w:spacing w:line="229" w:lineRule="exact"/>
        <w:jc w:val="left"/>
        <w:rPr>
          <w:rFonts w:eastAsia="Arial" w:cs="Arial"/>
          <w:szCs w:val="20"/>
          <w:shd w:val="clear" w:color="auto" w:fill="FFFFFF"/>
          <w:lang w:eastAsia="en-US" w:bidi="ar-SA"/>
        </w:rPr>
      </w:pPr>
    </w:p>
    <w:p w14:paraId="52D7A472" w14:textId="77777777" w:rsidR="00ED1AA7" w:rsidRDefault="00E92B35">
      <w:pPr>
        <w:widowControl/>
        <w:shd w:val="clear" w:color="auto" w:fill="FFFFFF"/>
        <w:spacing w:line="229" w:lineRule="exact"/>
        <w:jc w:val="left"/>
        <w:rPr>
          <w:rFonts w:eastAsia="Arial" w:cs="Arial"/>
          <w:b/>
          <w:szCs w:val="20"/>
          <w:u w:val="single"/>
          <w:shd w:val="clear" w:color="auto" w:fill="FFFFFF"/>
          <w:lang w:eastAsia="en-US" w:bidi="ar-SA"/>
        </w:rPr>
      </w:pPr>
      <w:r>
        <w:rPr>
          <w:rFonts w:eastAsia="Arial" w:cs="Arial"/>
          <w:b/>
          <w:szCs w:val="20"/>
          <w:u w:val="single"/>
          <w:shd w:val="clear" w:color="auto" w:fill="FFFFFF"/>
          <w:lang w:eastAsia="en-US" w:bidi="ar-SA"/>
        </w:rPr>
        <w:t>OU</w:t>
      </w:r>
    </w:p>
    <w:p w14:paraId="54E164CD" w14:textId="77777777" w:rsidR="00ED1AA7" w:rsidRDefault="00ED1AA7">
      <w:pPr>
        <w:widowControl/>
        <w:spacing w:before="7"/>
        <w:jc w:val="left"/>
        <w:rPr>
          <w:rFonts w:eastAsia="Arial" w:cs="Arial"/>
          <w:b/>
          <w:szCs w:val="20"/>
          <w:lang w:eastAsia="en-US" w:bidi="ar-SA"/>
        </w:rPr>
      </w:pPr>
    </w:p>
    <w:p w14:paraId="65E4FB5D" w14:textId="77777777" w:rsidR="00ED1AA7" w:rsidRDefault="00E92B35">
      <w:pPr>
        <w:widowControl/>
        <w:shd w:val="clear" w:color="auto" w:fill="FFFFFF"/>
        <w:spacing w:before="74" w:line="229" w:lineRule="exact"/>
        <w:jc w:val="left"/>
        <w:rPr>
          <w:rFonts w:eastAsia="Arial" w:cs="Arial"/>
          <w:szCs w:val="20"/>
          <w:shd w:val="clear" w:color="auto" w:fill="FFFFFF"/>
          <w:lang w:eastAsia="en-US" w:bidi="ar-SA"/>
        </w:rPr>
      </w:pPr>
      <w:r>
        <w:rPr>
          <w:rFonts w:eastAsia="Arial" w:cs="Arial"/>
          <w:szCs w:val="20"/>
          <w:shd w:val="clear" w:color="auto" w:fill="FFFFFF"/>
          <w:lang w:eastAsia="en-US" w:bidi="ar-SA"/>
        </w:rPr>
        <w:t>Un seul DC1, commun à tous les membres du groupement, est fourni. Ce document précise :</w:t>
      </w:r>
    </w:p>
    <w:p w14:paraId="25E2E965" w14:textId="77777777" w:rsidR="00ED1AA7" w:rsidRDefault="00ED1AA7">
      <w:pPr>
        <w:widowControl/>
        <w:shd w:val="clear" w:color="auto" w:fill="FFFFFF"/>
        <w:spacing w:before="74" w:line="229" w:lineRule="exact"/>
        <w:jc w:val="left"/>
        <w:rPr>
          <w:rFonts w:eastAsia="Arial" w:cs="Arial"/>
          <w:szCs w:val="20"/>
          <w:lang w:eastAsia="en-US" w:bidi="ar-SA"/>
        </w:rPr>
      </w:pPr>
    </w:p>
    <w:p w14:paraId="1C8C1865" w14:textId="77777777" w:rsidR="00ED1AA7" w:rsidRDefault="00E92B35" w:rsidP="008F7EC5">
      <w:pPr>
        <w:numPr>
          <w:ilvl w:val="0"/>
          <w:numId w:val="8"/>
        </w:numPr>
        <w:rPr>
          <w:lang w:eastAsia="en-US" w:bidi="ar-SA"/>
        </w:rPr>
      </w:pPr>
      <w:r>
        <w:rPr>
          <w:lang w:eastAsia="en-US" w:bidi="ar-SA"/>
        </w:rPr>
        <w:t>en rubrique D, la nature du groupement (conjoint ou</w:t>
      </w:r>
      <w:r>
        <w:rPr>
          <w:spacing w:val="-27"/>
          <w:lang w:eastAsia="en-US" w:bidi="ar-SA"/>
        </w:rPr>
        <w:t xml:space="preserve"> </w:t>
      </w:r>
      <w:r>
        <w:rPr>
          <w:lang w:eastAsia="en-US" w:bidi="ar-SA"/>
        </w:rPr>
        <w:t>solidaire),</w:t>
      </w:r>
    </w:p>
    <w:p w14:paraId="4590ACF6" w14:textId="77777777" w:rsidR="00ED1AA7" w:rsidRDefault="00E92B35" w:rsidP="008F7EC5">
      <w:pPr>
        <w:numPr>
          <w:ilvl w:val="0"/>
          <w:numId w:val="8"/>
        </w:numPr>
        <w:rPr>
          <w:lang w:eastAsia="en-US" w:bidi="ar-SA"/>
        </w:rPr>
      </w:pPr>
      <w:r>
        <w:rPr>
          <w:lang w:eastAsia="en-US" w:bidi="ar-SA"/>
        </w:rPr>
        <w:t>en rubrique E, l'identification de l'ensemble des membres du groupement (nom, adresse, numéros de téléphone et de télécopie, adresse mail, SIRET), ainsi que la répartition des prestations (uniquement si le groupement est</w:t>
      </w:r>
      <w:r>
        <w:rPr>
          <w:spacing w:val="-20"/>
          <w:lang w:eastAsia="en-US" w:bidi="ar-SA"/>
        </w:rPr>
        <w:t xml:space="preserve"> </w:t>
      </w:r>
      <w:r>
        <w:rPr>
          <w:lang w:eastAsia="en-US" w:bidi="ar-SA"/>
        </w:rPr>
        <w:t>conjoint),</w:t>
      </w:r>
    </w:p>
    <w:p w14:paraId="5A484424" w14:textId="77777777" w:rsidR="00ED1AA7" w:rsidRDefault="00E92B35" w:rsidP="008F7EC5">
      <w:pPr>
        <w:numPr>
          <w:ilvl w:val="0"/>
          <w:numId w:val="8"/>
        </w:numPr>
        <w:rPr>
          <w:strike/>
          <w:lang w:eastAsia="en-US" w:bidi="ar-SA"/>
        </w:rPr>
      </w:pPr>
      <w:r>
        <w:rPr>
          <w:lang w:eastAsia="en-US" w:bidi="ar-SA"/>
        </w:rPr>
        <w:t>en rubrique G, l'identité du mandataire.</w:t>
      </w:r>
    </w:p>
    <w:p w14:paraId="216AECB3" w14:textId="77777777" w:rsidR="00ED1AA7" w:rsidRDefault="00ED1AA7">
      <w:pPr>
        <w:rPr>
          <w:strike/>
          <w:lang w:eastAsia="en-US" w:bidi="ar-SA"/>
        </w:rPr>
      </w:pPr>
    </w:p>
    <w:p w14:paraId="1E075DC8" w14:textId="27EF7D23" w:rsidR="00ED1AA7" w:rsidRDefault="00E92B35">
      <w:pPr>
        <w:widowControl/>
        <w:shd w:val="clear" w:color="auto" w:fill="FFFFFF"/>
        <w:spacing w:before="1" w:line="229" w:lineRule="exact"/>
        <w:jc w:val="left"/>
        <w:rPr>
          <w:rFonts w:eastAsia="Arial" w:cs="Arial"/>
          <w:szCs w:val="20"/>
          <w:lang w:eastAsia="en-US" w:bidi="ar-SA"/>
        </w:rPr>
      </w:pPr>
      <w:r>
        <w:rPr>
          <w:rFonts w:eastAsia="Arial" w:cs="Arial"/>
          <w:szCs w:val="20"/>
          <w:lang w:eastAsia="en-US" w:bidi="ar-SA"/>
        </w:rPr>
        <w:t>Chaque membre du groupement fournit un DC2, accompagné des pièces jointes (cf. article 5.1.1 du</w:t>
      </w:r>
      <w:r>
        <w:rPr>
          <w:rFonts w:eastAsia="Arial" w:cs="Arial"/>
          <w:spacing w:val="-29"/>
          <w:szCs w:val="20"/>
          <w:lang w:eastAsia="en-US" w:bidi="ar-SA"/>
        </w:rPr>
        <w:t xml:space="preserve"> </w:t>
      </w:r>
      <w:r>
        <w:rPr>
          <w:rFonts w:eastAsia="Arial" w:cs="Arial"/>
          <w:szCs w:val="20"/>
          <w:lang w:eastAsia="en-US" w:bidi="ar-SA"/>
        </w:rPr>
        <w:t>RC).</w:t>
      </w:r>
    </w:p>
    <w:p w14:paraId="1BA57177" w14:textId="77777777" w:rsidR="00ED1AA7" w:rsidRDefault="00ED1AA7"/>
    <w:p w14:paraId="34FE915D" w14:textId="77777777" w:rsidR="00ED1AA7" w:rsidRDefault="00E92B35">
      <w:pPr>
        <w:widowControl/>
        <w:shd w:val="clear" w:color="auto" w:fill="FFFFFF"/>
        <w:jc w:val="left"/>
        <w:rPr>
          <w:rFonts w:eastAsia="Arial" w:cs="Arial"/>
          <w:szCs w:val="20"/>
          <w:lang w:eastAsia="en-US" w:bidi="ar-SA"/>
        </w:rPr>
      </w:pPr>
      <w:r>
        <w:rPr>
          <w:rFonts w:eastAsia="Arial" w:cs="Arial"/>
          <w:b/>
          <w:bCs/>
          <w:szCs w:val="20"/>
          <w:lang w:eastAsia="en-US" w:bidi="ar-SA"/>
        </w:rPr>
        <w:t>En cas de réponse avec un ou plusieurs sous-traitants</w:t>
      </w:r>
    </w:p>
    <w:p w14:paraId="251B59EE" w14:textId="77777777" w:rsidR="00ED1AA7" w:rsidRDefault="00ED1AA7">
      <w:pPr>
        <w:widowControl/>
        <w:shd w:val="clear" w:color="auto" w:fill="FFFFFF"/>
        <w:jc w:val="left"/>
        <w:rPr>
          <w:rFonts w:eastAsia="Arial" w:cs="Arial"/>
          <w:szCs w:val="20"/>
          <w:lang w:eastAsia="en-US" w:bidi="ar-SA"/>
        </w:rPr>
      </w:pPr>
    </w:p>
    <w:p w14:paraId="2555BB55" w14:textId="79549E07" w:rsidR="00ED1AA7" w:rsidRDefault="00E92B35">
      <w:pPr>
        <w:widowControl/>
        <w:shd w:val="clear" w:color="auto" w:fill="FFFFFF"/>
        <w:spacing w:before="74"/>
        <w:jc w:val="left"/>
        <w:rPr>
          <w:rFonts w:eastAsia="Arial" w:cs="Arial"/>
          <w:szCs w:val="20"/>
          <w:lang w:eastAsia="en-US" w:bidi="ar-SA"/>
        </w:rPr>
      </w:pPr>
      <w:r>
        <w:rPr>
          <w:rFonts w:eastAsia="Arial" w:cs="Arial"/>
          <w:szCs w:val="20"/>
          <w:lang w:eastAsia="en-US" w:bidi="ar-SA"/>
        </w:rPr>
        <w:t>Un seul DC1 est fourni. Le soumissionnaire coche la case « Le candidat se présente seul » en rubrique D, (à condition qu’il n’ait pas de co-traitants).</w:t>
      </w:r>
    </w:p>
    <w:p w14:paraId="6500645F" w14:textId="77777777" w:rsidR="00ED1AA7" w:rsidRDefault="00ED1AA7">
      <w:pPr>
        <w:widowControl/>
        <w:shd w:val="clear" w:color="auto" w:fill="FFFFFF"/>
        <w:jc w:val="left"/>
        <w:rPr>
          <w:rFonts w:eastAsia="Arial" w:cs="Arial"/>
          <w:szCs w:val="20"/>
          <w:lang w:eastAsia="en-US" w:bidi="ar-SA"/>
        </w:rPr>
      </w:pPr>
    </w:p>
    <w:p w14:paraId="5B178F10" w14:textId="0A669AFD" w:rsidR="00ED1AA7" w:rsidRDefault="00E92B35">
      <w:pPr>
        <w:widowControl/>
        <w:shd w:val="clear" w:color="auto" w:fill="FFFFFF"/>
        <w:spacing w:before="1" w:line="229" w:lineRule="exact"/>
        <w:rPr>
          <w:rFonts w:eastAsia="Arial" w:cs="Arial"/>
          <w:szCs w:val="20"/>
          <w:lang w:eastAsia="en-US" w:bidi="ar-SA"/>
        </w:rPr>
      </w:pPr>
      <w:r>
        <w:rPr>
          <w:rFonts w:eastAsia="Arial" w:cs="Arial"/>
          <w:szCs w:val="20"/>
          <w:lang w:eastAsia="en-US" w:bidi="ar-SA"/>
        </w:rPr>
        <w:t>Le soumissionnaire, et chacun des sous-traitants qu'il propose, fournissent un DC2, accompagné des pièces jointes (cf. article 5.1.1 du</w:t>
      </w:r>
      <w:r>
        <w:rPr>
          <w:rFonts w:eastAsia="Arial" w:cs="Arial"/>
          <w:spacing w:val="-29"/>
          <w:szCs w:val="20"/>
          <w:lang w:eastAsia="en-US" w:bidi="ar-SA"/>
        </w:rPr>
        <w:t xml:space="preserve"> </w:t>
      </w:r>
      <w:r>
        <w:rPr>
          <w:rFonts w:eastAsia="Arial" w:cs="Arial"/>
          <w:szCs w:val="20"/>
          <w:lang w:eastAsia="en-US" w:bidi="ar-SA"/>
        </w:rPr>
        <w:t xml:space="preserve">RC). </w:t>
      </w:r>
    </w:p>
    <w:p w14:paraId="31D85100" w14:textId="77777777" w:rsidR="00ED1AA7" w:rsidRDefault="00ED1AA7">
      <w:pPr>
        <w:tabs>
          <w:tab w:val="left" w:pos="568"/>
        </w:tabs>
        <w:ind w:right="-3"/>
        <w:rPr>
          <w:rFonts w:cs="Arial"/>
          <w:bCs/>
          <w:iCs/>
          <w:szCs w:val="20"/>
        </w:rPr>
      </w:pPr>
    </w:p>
    <w:p w14:paraId="52A82DF6" w14:textId="77777777" w:rsidR="00ED1AA7" w:rsidRDefault="00E92B35">
      <w:pPr>
        <w:pStyle w:val="Titre2"/>
        <w:rPr>
          <w:rFonts w:cs="Arial"/>
        </w:rPr>
      </w:pPr>
      <w:bookmarkStart w:id="23" w:name="_Toc233623661"/>
      <w:r>
        <w:t>5.2 Dossier d'offre</w:t>
      </w:r>
      <w:bookmarkEnd w:id="23"/>
    </w:p>
    <w:p w14:paraId="18F822B7" w14:textId="77777777" w:rsidR="00ED1AA7" w:rsidRDefault="00ED1AA7">
      <w:pPr>
        <w:rPr>
          <w:rFonts w:cs="Arial"/>
        </w:rPr>
      </w:pPr>
    </w:p>
    <w:p w14:paraId="70889224" w14:textId="77777777" w:rsidR="00ED1AA7" w:rsidRDefault="00E92B35">
      <w:pPr>
        <w:pBdr>
          <w:top w:val="single" w:sz="4" w:space="0" w:color="000000"/>
          <w:left w:val="single" w:sz="4" w:space="4" w:color="000000"/>
          <w:bottom w:val="single" w:sz="4" w:space="1" w:color="000000"/>
          <w:right w:val="single" w:sz="4" w:space="4" w:color="000000"/>
        </w:pBdr>
        <w:shd w:val="pct10" w:color="auto" w:fill="FFFFFF"/>
      </w:pPr>
      <w:r>
        <w:t>Il est rappelé que toute offre incomplète ou ne respectant pas les prescriptions du DCE est irrégulière, et pourra être rejetée sans être analysée.</w:t>
      </w:r>
    </w:p>
    <w:p w14:paraId="7B185563" w14:textId="77777777" w:rsidR="00ED1AA7" w:rsidRDefault="00ED1AA7">
      <w:pPr>
        <w:rPr>
          <w:rFonts w:cs="Arial"/>
        </w:rPr>
      </w:pPr>
    </w:p>
    <w:p w14:paraId="025892FD" w14:textId="2E20C9C7" w:rsidR="00ED1AA7" w:rsidRDefault="00E92B35">
      <w:r>
        <w:t>L'offre comprend :</w:t>
      </w:r>
    </w:p>
    <w:p w14:paraId="11A3ABFF" w14:textId="77777777" w:rsidR="00ED1AA7" w:rsidRDefault="00ED1AA7">
      <w:pPr>
        <w:rPr>
          <w:szCs w:val="20"/>
        </w:rPr>
      </w:pPr>
    </w:p>
    <w:p w14:paraId="3E9B2025" w14:textId="1CD8435F" w:rsidR="00ED1AA7" w:rsidRDefault="00E92B35" w:rsidP="008F7EC5">
      <w:pPr>
        <w:numPr>
          <w:ilvl w:val="0"/>
          <w:numId w:val="8"/>
        </w:numPr>
        <w:rPr>
          <w:szCs w:val="20"/>
        </w:rPr>
      </w:pPr>
      <w:r>
        <w:rPr>
          <w:szCs w:val="20"/>
        </w:rPr>
        <w:t>l’acte d’engagement (ATTRI1) complété et daté (la signature est facultative à ce stade),</w:t>
      </w:r>
    </w:p>
    <w:p w14:paraId="34DFF21D" w14:textId="77777777" w:rsidR="00ED1AA7" w:rsidRDefault="00ED1AA7">
      <w:pPr>
        <w:ind w:firstLine="709"/>
        <w:rPr>
          <w:color w:val="000000"/>
        </w:rPr>
      </w:pPr>
    </w:p>
    <w:p w14:paraId="648AD3F8" w14:textId="043E00BE" w:rsidR="00AC6531" w:rsidRDefault="00E92B35" w:rsidP="008F7EC5">
      <w:pPr>
        <w:numPr>
          <w:ilvl w:val="0"/>
          <w:numId w:val="8"/>
        </w:numPr>
        <w:rPr>
          <w:szCs w:val="20"/>
        </w:rPr>
      </w:pPr>
      <w:r>
        <w:rPr>
          <w:rFonts w:cs="Arial"/>
          <w:szCs w:val="20"/>
        </w:rPr>
        <w:t>la décomposition du prix global et forfaitaire (DPGF</w:t>
      </w:r>
      <w:r>
        <w:rPr>
          <w:szCs w:val="20"/>
        </w:rPr>
        <w:t>)</w:t>
      </w:r>
      <w:r w:rsidR="00AC6531">
        <w:rPr>
          <w:szCs w:val="20"/>
        </w:rPr>
        <w:t>,</w:t>
      </w:r>
      <w:r>
        <w:rPr>
          <w:szCs w:val="20"/>
        </w:rPr>
        <w:t xml:space="preserve"> </w:t>
      </w:r>
      <w:r w:rsidR="00AC6531">
        <w:rPr>
          <w:szCs w:val="20"/>
        </w:rPr>
        <w:t>intégralement complétée,</w:t>
      </w:r>
    </w:p>
    <w:p w14:paraId="3CF2CEC0" w14:textId="77777777" w:rsidR="00AC6531" w:rsidRDefault="00AC6531" w:rsidP="00BA6D3A">
      <w:pPr>
        <w:pStyle w:val="Paragraphedeliste"/>
        <w:rPr>
          <w:szCs w:val="20"/>
        </w:rPr>
      </w:pPr>
    </w:p>
    <w:p w14:paraId="4FAEC01D" w14:textId="5F83BA48" w:rsidR="00ED1AA7" w:rsidRDefault="00AC6531" w:rsidP="008F7EC5">
      <w:pPr>
        <w:numPr>
          <w:ilvl w:val="0"/>
          <w:numId w:val="8"/>
        </w:numPr>
        <w:rPr>
          <w:szCs w:val="20"/>
        </w:rPr>
      </w:pPr>
      <w:r>
        <w:rPr>
          <w:szCs w:val="20"/>
        </w:rPr>
        <w:t xml:space="preserve">le </w:t>
      </w:r>
      <w:r w:rsidR="00E92B35">
        <w:rPr>
          <w:rFonts w:cs="Arial"/>
          <w:szCs w:val="20"/>
        </w:rPr>
        <w:t>bordereau des prix unitaires (BPU)</w:t>
      </w:r>
      <w:r w:rsidR="00E92B35">
        <w:rPr>
          <w:szCs w:val="20"/>
        </w:rPr>
        <w:t>, intégralement complété,</w:t>
      </w:r>
    </w:p>
    <w:p w14:paraId="37F01895" w14:textId="77777777" w:rsidR="00ED1AA7" w:rsidRDefault="00ED1AA7">
      <w:pPr>
        <w:rPr>
          <w:szCs w:val="20"/>
        </w:rPr>
      </w:pPr>
    </w:p>
    <w:p w14:paraId="3BB3EE9D" w14:textId="2B0804B8" w:rsidR="00ED1AA7" w:rsidRDefault="00E92B35" w:rsidP="008F7EC5">
      <w:pPr>
        <w:pStyle w:val="Paragraphedeliste"/>
        <w:numPr>
          <w:ilvl w:val="0"/>
          <w:numId w:val="8"/>
        </w:numPr>
        <w:tabs>
          <w:tab w:val="left" w:pos="283"/>
        </w:tabs>
        <w:rPr>
          <w:rFonts w:eastAsia="Arial" w:cs="Arial"/>
          <w:sz w:val="18"/>
          <w:szCs w:val="18"/>
        </w:rPr>
      </w:pPr>
      <w:r>
        <w:t>en cas de sous-traitance, une déclaration de sous-traitance</w:t>
      </w:r>
      <w:r w:rsidR="00AC6531">
        <w:t xml:space="preserve"> (DC4)</w:t>
      </w:r>
      <w:r>
        <w:t xml:space="preserve"> complétée (les signatures du soumissionnaire et de son sous-traitant sont facultatives à ce stade),</w:t>
      </w:r>
    </w:p>
    <w:p w14:paraId="64269468" w14:textId="77777777" w:rsidR="00ED1AA7" w:rsidRDefault="00ED1AA7">
      <w:pPr>
        <w:pStyle w:val="Paragraphedeliste"/>
        <w:rPr>
          <w:rFonts w:eastAsia="Arial" w:cs="Arial"/>
          <w:color w:val="FF0000"/>
          <w:sz w:val="18"/>
          <w:szCs w:val="18"/>
        </w:rPr>
      </w:pPr>
    </w:p>
    <w:p w14:paraId="21E2CF3F" w14:textId="5B8E3967" w:rsidR="00ED1AA7" w:rsidRPr="0011751A" w:rsidRDefault="00E92B35" w:rsidP="008F7EC5">
      <w:pPr>
        <w:pStyle w:val="Paragraphedeliste"/>
        <w:numPr>
          <w:ilvl w:val="0"/>
          <w:numId w:val="11"/>
        </w:numPr>
        <w:tabs>
          <w:tab w:val="left" w:pos="283"/>
        </w:tabs>
        <w:rPr>
          <w:bCs/>
          <w:color w:val="000000"/>
          <w:szCs w:val="20"/>
        </w:rPr>
      </w:pPr>
      <w:r>
        <w:rPr>
          <w:bCs/>
          <w:color w:val="000000"/>
          <w:szCs w:val="20"/>
        </w:rPr>
        <w:t xml:space="preserve">le cadre de réponse technique du soumissionnaire </w:t>
      </w:r>
      <w:r>
        <w:rPr>
          <w:rFonts w:eastAsia="Arial" w:cs="Arial"/>
          <w:szCs w:val="20"/>
        </w:rPr>
        <w:t>décrivant l'ensemble des points explicités ci-dessous et permettant à l’acheteur d'évaluer les offres sur le fondement des critères de jugement énoncés à l'article 7.2 ci-après</w:t>
      </w:r>
    </w:p>
    <w:p w14:paraId="38D781A5" w14:textId="77777777" w:rsidR="00ED1AA7" w:rsidRDefault="00ED1AA7">
      <w:pPr>
        <w:pStyle w:val="Paragraphedeliste"/>
        <w:rPr>
          <w:rFonts w:eastAsia="Arial" w:cs="Arial"/>
          <w:sz w:val="18"/>
          <w:szCs w:val="18"/>
        </w:rPr>
      </w:pPr>
    </w:p>
    <w:p w14:paraId="57A12F98" w14:textId="4AABC9A8" w:rsidR="00ED1AA7" w:rsidRDefault="00E92B35" w:rsidP="008F7EC5">
      <w:pPr>
        <w:pStyle w:val="Paragraphedeliste"/>
        <w:numPr>
          <w:ilvl w:val="0"/>
          <w:numId w:val="11"/>
        </w:numPr>
        <w:tabs>
          <w:tab w:val="left" w:pos="283"/>
        </w:tabs>
        <w:rPr>
          <w:bCs/>
          <w:color w:val="000000"/>
          <w:szCs w:val="20"/>
        </w:rPr>
      </w:pPr>
      <w:r>
        <w:rPr>
          <w:bCs/>
          <w:color w:val="000000"/>
          <w:szCs w:val="20"/>
        </w:rPr>
        <w:t>un RIB.</w:t>
      </w:r>
    </w:p>
    <w:p w14:paraId="554B5D51" w14:textId="77777777" w:rsidR="004631E7" w:rsidRDefault="004631E7">
      <w:pPr>
        <w:tabs>
          <w:tab w:val="left" w:pos="284"/>
        </w:tabs>
        <w:rPr>
          <w:rFonts w:eastAsia="Arial" w:cs="Arial"/>
          <w:color w:val="000000"/>
          <w:szCs w:val="20"/>
        </w:rPr>
      </w:pPr>
    </w:p>
    <w:p w14:paraId="36B5C330" w14:textId="7613164C" w:rsidR="00ED1AA7" w:rsidRDefault="00E92B35">
      <w:pPr>
        <w:tabs>
          <w:tab w:val="left" w:pos="284"/>
        </w:tabs>
        <w:rPr>
          <w:rFonts w:eastAsia="Arial" w:cs="Arial"/>
          <w:color w:val="000000"/>
          <w:szCs w:val="20"/>
        </w:rPr>
      </w:pPr>
      <w:r>
        <w:rPr>
          <w:rFonts w:eastAsia="Arial" w:cs="Arial"/>
          <w:color w:val="000000"/>
          <w:szCs w:val="20"/>
        </w:rPr>
        <w:t>L'offre comprend, de manière générale, tous les éléments que le soumissionnaire estime de nature à appuyer sa proposition et dont l’acheteur a besoin pour l'évaluer.</w:t>
      </w:r>
    </w:p>
    <w:p w14:paraId="3A2F01CB" w14:textId="77777777" w:rsidR="00ED1AA7" w:rsidRDefault="00ED1AA7">
      <w:pPr>
        <w:tabs>
          <w:tab w:val="left" w:pos="284"/>
        </w:tabs>
        <w:rPr>
          <w:rFonts w:eastAsia="Arial" w:cs="Arial"/>
          <w:color w:val="000000"/>
          <w:szCs w:val="20"/>
        </w:rPr>
      </w:pPr>
    </w:p>
    <w:p w14:paraId="3535DAA7" w14:textId="00458972" w:rsidR="00ED1AA7" w:rsidRDefault="00E92B35">
      <w:pPr>
        <w:pStyle w:val="Titre2"/>
      </w:pPr>
      <w:bookmarkStart w:id="24" w:name="_Toc233623662"/>
      <w:r>
        <w:t>5.3 Délai de validité des offres</w:t>
      </w:r>
      <w:bookmarkEnd w:id="24"/>
    </w:p>
    <w:p w14:paraId="6E120AA3" w14:textId="77777777" w:rsidR="00ED1AA7" w:rsidRDefault="00ED1AA7"/>
    <w:p w14:paraId="747C31DD" w14:textId="0CEEC74E" w:rsidR="00ED1AA7" w:rsidRDefault="00E92B35">
      <w:r>
        <w:t xml:space="preserve">Le délai de validité des offres est de quatre (4) mois à compter de la date limite de réception de celles-ci. Il est de deux (2) mois à compter de la date limite de remise des offres </w:t>
      </w:r>
      <w:r w:rsidR="0011751A">
        <w:t xml:space="preserve">finales, après négociation. </w:t>
      </w:r>
    </w:p>
    <w:p w14:paraId="1E05F454" w14:textId="77777777" w:rsidR="00ED1AA7" w:rsidRDefault="00ED1AA7"/>
    <w:p w14:paraId="6BC3F97D" w14:textId="77777777" w:rsidR="004631E7" w:rsidRDefault="004631E7"/>
    <w:p w14:paraId="6530496F" w14:textId="77777777" w:rsidR="004631E7" w:rsidRDefault="004631E7"/>
    <w:p w14:paraId="071A2621" w14:textId="027A4EC1" w:rsidR="00ED1AA7" w:rsidRDefault="00E92B35">
      <w:pPr>
        <w:pStyle w:val="Titre1"/>
      </w:pPr>
      <w:bookmarkStart w:id="25" w:name="_Toc233623663"/>
      <w:r>
        <w:t>ARTICLE 6 – REMISE DES PLIS</w:t>
      </w:r>
      <w:bookmarkEnd w:id="25"/>
    </w:p>
    <w:p w14:paraId="11357770" w14:textId="77777777" w:rsidR="00ED1AA7" w:rsidRDefault="00ED1AA7"/>
    <w:p w14:paraId="4B33C70C" w14:textId="77777777" w:rsidR="00ED1AA7" w:rsidRDefault="00E92B35">
      <w:pPr>
        <w:pStyle w:val="Titre2"/>
      </w:pPr>
      <w:bookmarkStart w:id="26" w:name="_Toc233623664"/>
      <w:r>
        <w:t>6.1 Date et heure limite de réception des plis</w:t>
      </w:r>
      <w:bookmarkEnd w:id="26"/>
    </w:p>
    <w:p w14:paraId="1C67FC84" w14:textId="77777777" w:rsidR="00ED1AA7" w:rsidRDefault="00ED1AA7"/>
    <w:p w14:paraId="5C4F0FAB" w14:textId="77777777" w:rsidR="00ED1AA7" w:rsidRDefault="00E92B35">
      <w:pPr>
        <w:rPr>
          <w:rFonts w:cs="Arial"/>
          <w:sz w:val="24"/>
        </w:rPr>
      </w:pPr>
      <w:r>
        <w:rPr>
          <w:szCs w:val="20"/>
        </w:rPr>
        <w:t>La date et l’heure limites de réception des plis sont fixées à la page de garde du présent RC.</w:t>
      </w:r>
    </w:p>
    <w:p w14:paraId="60190A68" w14:textId="77777777" w:rsidR="00ED1AA7" w:rsidRDefault="00ED1AA7">
      <w:pPr>
        <w:rPr>
          <w:szCs w:val="20"/>
        </w:rPr>
      </w:pPr>
    </w:p>
    <w:p w14:paraId="16B32C18" w14:textId="3FD313F8" w:rsidR="00ED1AA7" w:rsidRDefault="00E92B35">
      <w:r>
        <w:rPr>
          <w:szCs w:val="20"/>
        </w:rPr>
        <w:t xml:space="preserve">Seul sera pris en compte l’horodatage d’arrivée des plis. Le soumissionnaire est seul responsable du bon acheminement de sa réponse à l’acheteur. </w:t>
      </w:r>
      <w:r>
        <w:t>Les plis qui parviendraient après la date et l’heure limites fixées, ainsi que les plis parvenus par voie papier seront éliminés.</w:t>
      </w:r>
    </w:p>
    <w:p w14:paraId="05474795" w14:textId="77777777" w:rsidR="00ED1AA7" w:rsidRDefault="00ED1AA7"/>
    <w:p w14:paraId="0EBADAE8" w14:textId="3481BCB8" w:rsidR="00ED1AA7" w:rsidRDefault="00E92B35">
      <w:pPr>
        <w:rPr>
          <w:rFonts w:eastAsia="Arial" w:cs="Arial"/>
          <w:szCs w:val="20"/>
        </w:rPr>
      </w:pPr>
      <w:r>
        <w:rPr>
          <w:rFonts w:eastAsia="Arial" w:cs="Arial"/>
          <w:b/>
          <w:szCs w:val="20"/>
        </w:rPr>
        <w:t>Le soumissionnaire doit impérativement veiller à prendre ses dispositions de manière à ce que sa réponse électronique soit déposée dans les délais impartis, et notamment à intégrer le temps nécessaire à l’accomplissement de toutes les formalités</w:t>
      </w:r>
      <w:r>
        <w:rPr>
          <w:rFonts w:eastAsia="Arial" w:cs="Arial"/>
          <w:szCs w:val="20"/>
        </w:rPr>
        <w:t xml:space="preserve"> (s’agissant notamment de la durée du téléchargement en fonction du débit de son accès internet et/ou de la taille des documents à transmettre, de la validité de son certificat de signature électronique, etc.). À cette fin, il est vivement conseillé aux soumissionnaires de prendre connaissance du </w:t>
      </w:r>
      <w:r>
        <w:rPr>
          <w:rFonts w:eastAsia="Arial" w:cs="Arial"/>
          <w:i/>
          <w:szCs w:val="20"/>
        </w:rPr>
        <w:t>Guide d’utilisation – Utilisateur entreprise</w:t>
      </w:r>
      <w:r>
        <w:rPr>
          <w:rFonts w:eastAsia="Arial" w:cs="Arial"/>
          <w:szCs w:val="20"/>
        </w:rPr>
        <w:t xml:space="preserve"> mis disposition par la plateforme.</w:t>
      </w:r>
    </w:p>
    <w:p w14:paraId="3513F068" w14:textId="77777777" w:rsidR="00ED1AA7" w:rsidRDefault="00ED1AA7"/>
    <w:p w14:paraId="58FA9581" w14:textId="08BD6895" w:rsidR="00ED1AA7" w:rsidRDefault="00E92B35">
      <w:pPr>
        <w:pStyle w:val="Titre2"/>
      </w:pPr>
      <w:bookmarkStart w:id="27" w:name="_Toc233623665"/>
      <w:r>
        <w:t>6.2 Réponse au format papier</w:t>
      </w:r>
      <w:bookmarkEnd w:id="27"/>
    </w:p>
    <w:p w14:paraId="204659E5" w14:textId="77777777" w:rsidR="00ED1AA7" w:rsidRDefault="00ED1AA7"/>
    <w:p w14:paraId="69D1C978" w14:textId="40FC3EED" w:rsidR="00ED1AA7" w:rsidRDefault="00E92B35">
      <w:r>
        <w:t xml:space="preserve">La remise de pli au format papier n’est </w:t>
      </w:r>
      <w:r>
        <w:rPr>
          <w:b/>
          <w:u w:val="single"/>
        </w:rPr>
        <w:t>pas autorisée</w:t>
      </w:r>
      <w:r>
        <w:t>.</w:t>
      </w:r>
    </w:p>
    <w:p w14:paraId="3BBF15CC" w14:textId="77777777" w:rsidR="00ED1AA7" w:rsidRDefault="00ED1AA7"/>
    <w:p w14:paraId="0D051E62" w14:textId="01DBD6F3" w:rsidR="00ED1AA7" w:rsidRDefault="00E92B35">
      <w:pPr>
        <w:pStyle w:val="Titre2"/>
      </w:pPr>
      <w:bookmarkStart w:id="28" w:name="_Toc233623666"/>
      <w:r>
        <w:t>6.3 Réponse au format dématérialisé</w:t>
      </w:r>
      <w:bookmarkEnd w:id="28"/>
    </w:p>
    <w:p w14:paraId="577AA73C" w14:textId="77777777" w:rsidR="00ED1AA7" w:rsidRDefault="00ED1AA7">
      <w:pPr>
        <w:widowControl/>
        <w:rPr>
          <w:rFonts w:cs="Arial"/>
          <w:color w:val="000000"/>
          <w:szCs w:val="20"/>
        </w:rPr>
      </w:pPr>
    </w:p>
    <w:p w14:paraId="697D17CD" w14:textId="25534848" w:rsidR="00ED1AA7" w:rsidRDefault="00E92B35">
      <w:r>
        <w:t xml:space="preserve">Les plis </w:t>
      </w:r>
      <w:r>
        <w:rPr>
          <w:b/>
          <w:u w:val="single"/>
        </w:rPr>
        <w:t>doivent obligatoirement</w:t>
      </w:r>
      <w:r>
        <w:t xml:space="preserve"> être transmis par voie électronique sur le site : </w:t>
      </w:r>
      <w:hyperlink r:id="rId16" w:tooltip="https://marches.maximilien.fr/" w:history="1">
        <w:r>
          <w:rPr>
            <w:rStyle w:val="Lienhypertexte"/>
          </w:rPr>
          <w:t>https://marches.maximilien.fr/</w:t>
        </w:r>
      </w:hyperlink>
      <w:r>
        <w:t>.</w:t>
      </w:r>
    </w:p>
    <w:p w14:paraId="337C8D62" w14:textId="77777777" w:rsidR="00ED1AA7" w:rsidRDefault="00ED1AA7">
      <w:pPr>
        <w:rPr>
          <w:highlight w:val="yellow"/>
        </w:rPr>
      </w:pPr>
    </w:p>
    <w:p w14:paraId="14C41422" w14:textId="0B92B361" w:rsidR="00ED1AA7" w:rsidRDefault="00E92B35">
      <w:r>
        <w:t>Le soumissionnaire doit s’assurer au préalable qu’il dispose des outils informatiques nécessaires pour le dépôt de son pli. À cet effet, le profil d’acheteur dispose d’une rubrique pour tester la configuration de son poste (</w:t>
      </w:r>
      <w:hyperlink r:id="rId17" w:tooltip="https://marches.maximilien.fr/?page=commun.DiagnosticPoste&amp;callFrom=entreprise" w:history="1">
        <w:r>
          <w:rPr>
            <w:rStyle w:val="Lienhypertexte"/>
          </w:rPr>
          <w:t>https://marches.maximilien.fr/?page=commun.DiagnosticPoste&amp;callFrom=entreprise</w:t>
        </w:r>
      </w:hyperlink>
      <w:r>
        <w:t>).</w:t>
      </w:r>
    </w:p>
    <w:p w14:paraId="3FBDC7A7" w14:textId="77777777" w:rsidR="00ED1AA7" w:rsidRDefault="00ED1AA7"/>
    <w:p w14:paraId="2127D78E" w14:textId="2F0D1805" w:rsidR="00ED1AA7" w:rsidRDefault="00E92B35">
      <w:r>
        <w:t xml:space="preserve">Il dispose en outre d'une aide technique à l'utilisation de la plate-forme disponible sur le portail Maximilien, rubrique "Aide" et doit se conformer aux conditions générales d'utilisation de la plateforme, disponible avec le lien suivant : </w:t>
      </w:r>
      <w:hyperlink r:id="rId18" w:tooltip="https://marches.maximilien.fr/?page=entreprise.EntrepriseGuide&amp;Aide" w:history="1">
        <w:r>
          <w:rPr>
            <w:rStyle w:val="Lienhypertexte"/>
          </w:rPr>
          <w:t>https://marches.maximilien.fr/?page=entreprise.EntrepriseGuide&amp;Aide</w:t>
        </w:r>
      </w:hyperlink>
      <w:r>
        <w:rPr>
          <w:u w:val="single"/>
        </w:rPr>
        <w:t xml:space="preserve"> </w:t>
      </w:r>
    </w:p>
    <w:p w14:paraId="48714BC6" w14:textId="77777777" w:rsidR="00ED1AA7" w:rsidRDefault="00ED1AA7"/>
    <w:p w14:paraId="7F071219" w14:textId="4AE69B6A" w:rsidR="00ED1AA7" w:rsidRDefault="00E92B35">
      <w:r>
        <w:t>Le soumissionnaire transmet ses fichiers en respectant les indications suivantes :</w:t>
      </w:r>
    </w:p>
    <w:p w14:paraId="74DEBC13" w14:textId="77777777" w:rsidR="00ED1AA7" w:rsidRDefault="00ED1AA7"/>
    <w:p w14:paraId="0B1D0F40" w14:textId="4E588E71" w:rsidR="00ED1AA7" w:rsidRDefault="00E92B35" w:rsidP="008F7EC5">
      <w:pPr>
        <w:pStyle w:val="Paragraphedeliste"/>
        <w:numPr>
          <w:ilvl w:val="0"/>
          <w:numId w:val="10"/>
        </w:numPr>
        <w:tabs>
          <w:tab w:val="left" w:pos="426"/>
        </w:tabs>
        <w:ind w:left="426" w:hanging="284"/>
      </w:pPr>
      <w:r>
        <w:rPr>
          <w:b/>
        </w:rPr>
        <w:t>limiter la taille des plis</w:t>
      </w:r>
      <w:r>
        <w:t>,</w:t>
      </w:r>
    </w:p>
    <w:p w14:paraId="4D4E483C" w14:textId="377B5D96" w:rsidR="00ED1AA7" w:rsidRDefault="00E92B35" w:rsidP="008F7EC5">
      <w:pPr>
        <w:pStyle w:val="Paragraphedeliste"/>
        <w:numPr>
          <w:ilvl w:val="0"/>
          <w:numId w:val="10"/>
        </w:numPr>
        <w:tabs>
          <w:tab w:val="left" w:pos="426"/>
        </w:tabs>
        <w:ind w:left="426" w:hanging="284"/>
      </w:pPr>
      <w:r>
        <w:t>utiliser</w:t>
      </w:r>
      <w:r>
        <w:rPr>
          <w:spacing w:val="-3"/>
        </w:rPr>
        <w:t xml:space="preserve"> </w:t>
      </w:r>
      <w:r>
        <w:t>les</w:t>
      </w:r>
      <w:r>
        <w:rPr>
          <w:spacing w:val="-3"/>
        </w:rPr>
        <w:t xml:space="preserve"> </w:t>
      </w:r>
      <w:r>
        <w:t>formats</w:t>
      </w:r>
      <w:r>
        <w:rPr>
          <w:spacing w:val="-3"/>
        </w:rPr>
        <w:t xml:space="preserve"> </w:t>
      </w:r>
      <w:r>
        <w:t>suivants</w:t>
      </w:r>
      <w:r>
        <w:rPr>
          <w:spacing w:val="-8"/>
        </w:rPr>
        <w:t xml:space="preserve"> </w:t>
      </w:r>
      <w:r>
        <w:t>:</w:t>
      </w:r>
      <w:r>
        <w:rPr>
          <w:spacing w:val="-2"/>
        </w:rPr>
        <w:t xml:space="preserve"> </w:t>
      </w:r>
      <w:r>
        <w:t>.doc,</w:t>
      </w:r>
      <w:r>
        <w:rPr>
          <w:spacing w:val="-3"/>
        </w:rPr>
        <w:t xml:space="preserve"> </w:t>
      </w:r>
      <w:r>
        <w:t>.jpg,</w:t>
      </w:r>
      <w:r>
        <w:rPr>
          <w:spacing w:val="-3"/>
        </w:rPr>
        <w:t xml:space="preserve"> </w:t>
      </w:r>
      <w:r>
        <w:t>.ods,</w:t>
      </w:r>
      <w:r>
        <w:rPr>
          <w:spacing w:val="-5"/>
        </w:rPr>
        <w:t xml:space="preserve"> </w:t>
      </w:r>
      <w:r>
        <w:t>.odt,</w:t>
      </w:r>
      <w:r>
        <w:rPr>
          <w:spacing w:val="-3"/>
        </w:rPr>
        <w:t xml:space="preserve"> </w:t>
      </w:r>
      <w:r>
        <w:t>.pdf,</w:t>
      </w:r>
      <w:r>
        <w:rPr>
          <w:spacing w:val="-3"/>
        </w:rPr>
        <w:t xml:space="preserve"> </w:t>
      </w:r>
      <w:r>
        <w:t>.rtf,</w:t>
      </w:r>
      <w:r>
        <w:rPr>
          <w:spacing w:val="-3"/>
        </w:rPr>
        <w:t xml:space="preserve"> </w:t>
      </w:r>
      <w:r>
        <w:t>.xls, .docx, .xslx</w:t>
      </w:r>
      <w:r>
        <w:rPr>
          <w:spacing w:val="-4"/>
        </w:rPr>
        <w:t>,</w:t>
      </w:r>
    </w:p>
    <w:p w14:paraId="0BE51D7C" w14:textId="0FAB7EB2" w:rsidR="00ED1AA7" w:rsidRDefault="00E92B35" w:rsidP="008F7EC5">
      <w:pPr>
        <w:pStyle w:val="Paragraphedeliste"/>
        <w:numPr>
          <w:ilvl w:val="0"/>
          <w:numId w:val="10"/>
        </w:numPr>
        <w:tabs>
          <w:tab w:val="left" w:pos="426"/>
        </w:tabs>
        <w:ind w:left="426" w:hanging="284"/>
      </w:pPr>
      <w:r>
        <w:t>éviter les</w:t>
      </w:r>
      <w:r>
        <w:rPr>
          <w:spacing w:val="-3"/>
        </w:rPr>
        <w:t xml:space="preserve"> </w:t>
      </w:r>
      <w:r>
        <w:t>fichiers</w:t>
      </w:r>
      <w:r>
        <w:rPr>
          <w:spacing w:val="-4"/>
        </w:rPr>
        <w:t xml:space="preserve"> </w:t>
      </w:r>
      <w:r>
        <w:t>ayant</w:t>
      </w:r>
      <w:r>
        <w:rPr>
          <w:spacing w:val="-3"/>
        </w:rPr>
        <w:t xml:space="preserve"> </w:t>
      </w:r>
      <w:r>
        <w:t>un</w:t>
      </w:r>
      <w:r>
        <w:rPr>
          <w:spacing w:val="-3"/>
        </w:rPr>
        <w:t xml:space="preserve"> </w:t>
      </w:r>
      <w:r>
        <w:t>format</w:t>
      </w:r>
      <w:r>
        <w:rPr>
          <w:spacing w:val="-5"/>
        </w:rPr>
        <w:t xml:space="preserve"> </w:t>
      </w:r>
      <w:r>
        <w:t>exécutable,</w:t>
      </w:r>
      <w:r>
        <w:rPr>
          <w:spacing w:val="-3"/>
        </w:rPr>
        <w:t xml:space="preserve"> </w:t>
      </w:r>
      <w:r>
        <w:t>notamment</w:t>
      </w:r>
      <w:r>
        <w:rPr>
          <w:spacing w:val="-3"/>
        </w:rPr>
        <w:t xml:space="preserve"> </w:t>
      </w:r>
      <w:r>
        <w:t>les</w:t>
      </w:r>
      <w:r>
        <w:rPr>
          <w:spacing w:val="-1"/>
        </w:rPr>
        <w:t xml:space="preserve"> </w:t>
      </w:r>
      <w:r>
        <w:t>.exe,</w:t>
      </w:r>
      <w:r>
        <w:rPr>
          <w:spacing w:val="-5"/>
        </w:rPr>
        <w:t xml:space="preserve"> </w:t>
      </w:r>
      <w:r>
        <w:t>.com et</w:t>
      </w:r>
      <w:r>
        <w:rPr>
          <w:spacing w:val="-5"/>
        </w:rPr>
        <w:t xml:space="preserve"> </w:t>
      </w:r>
      <w:r>
        <w:t>.bat</w:t>
      </w:r>
      <w:r>
        <w:rPr>
          <w:spacing w:val="-5"/>
        </w:rPr>
        <w:t>, et les</w:t>
      </w:r>
      <w:r>
        <w:rPr>
          <w:spacing w:val="-2"/>
        </w:rPr>
        <w:t xml:space="preserve"> </w:t>
      </w:r>
      <w:r>
        <w:t>outils</w:t>
      </w:r>
      <w:r>
        <w:rPr>
          <w:spacing w:val="-5"/>
        </w:rPr>
        <w:t xml:space="preserve"> </w:t>
      </w:r>
      <w:r>
        <w:t>spécifiques</w:t>
      </w:r>
      <w:r>
        <w:rPr>
          <w:spacing w:val="-5"/>
        </w:rPr>
        <w:t xml:space="preserve"> </w:t>
      </w:r>
      <w:r>
        <w:t>aux</w:t>
      </w:r>
      <w:r>
        <w:rPr>
          <w:spacing w:val="-2"/>
        </w:rPr>
        <w:t xml:space="preserve"> </w:t>
      </w:r>
      <w:r>
        <w:t>produits</w:t>
      </w:r>
      <w:r>
        <w:rPr>
          <w:spacing w:val="-5"/>
        </w:rPr>
        <w:t xml:space="preserve"> </w:t>
      </w:r>
      <w:r>
        <w:t>bureautiques</w:t>
      </w:r>
      <w:r>
        <w:rPr>
          <w:spacing w:val="-5"/>
        </w:rPr>
        <w:t xml:space="preserve"> </w:t>
      </w:r>
      <w:r>
        <w:t>tels</w:t>
      </w:r>
      <w:r>
        <w:rPr>
          <w:spacing w:val="-2"/>
        </w:rPr>
        <w:t xml:space="preserve"> </w:t>
      </w:r>
      <w:r>
        <w:t>que</w:t>
      </w:r>
      <w:r>
        <w:rPr>
          <w:spacing w:val="-4"/>
        </w:rPr>
        <w:t xml:space="preserve"> </w:t>
      </w:r>
      <w:r>
        <w:t>les</w:t>
      </w:r>
      <w:r>
        <w:rPr>
          <w:spacing w:val="-5"/>
        </w:rPr>
        <w:t xml:space="preserve"> </w:t>
      </w:r>
      <w:r>
        <w:t>macros</w:t>
      </w:r>
      <w:r>
        <w:rPr>
          <w:spacing w:val="-5"/>
        </w:rPr>
        <w:t xml:space="preserve"> </w:t>
      </w:r>
      <w:r>
        <w:t>commande.</w:t>
      </w:r>
    </w:p>
    <w:p w14:paraId="1BB9BE14" w14:textId="77777777" w:rsidR="00ED1AA7" w:rsidRDefault="00ED1AA7"/>
    <w:p w14:paraId="245F4DD6" w14:textId="0045995C" w:rsidR="00ED1AA7" w:rsidRDefault="00E92B35">
      <w:pPr>
        <w:rPr>
          <w:u w:val="single"/>
        </w:rPr>
      </w:pPr>
      <w:r>
        <w:rPr>
          <w:u w:val="single"/>
        </w:rPr>
        <w:t>Copie de sauvegarde</w:t>
      </w:r>
    </w:p>
    <w:p w14:paraId="7739D24C" w14:textId="77777777" w:rsidR="00ED1AA7" w:rsidRDefault="00ED1AA7"/>
    <w:p w14:paraId="020A213C" w14:textId="77777777" w:rsidR="00ED1AA7" w:rsidRDefault="00E92B35">
      <w:r>
        <w:t xml:space="preserve">Le soumissionnaire peut transmettre, parallèlement à l’envoi électronique de son pli, une copie de sauvegarde, soit : </w:t>
      </w:r>
    </w:p>
    <w:p w14:paraId="11BB91F5" w14:textId="7B756077" w:rsidR="00ED1AA7" w:rsidRDefault="00E92B35">
      <w:pPr>
        <w:rPr>
          <w:rFonts w:cs="Arial"/>
          <w:bCs/>
          <w:szCs w:val="20"/>
        </w:rPr>
      </w:pPr>
      <w:r>
        <w:t xml:space="preserve">- </w:t>
      </w:r>
      <w:r>
        <w:rPr>
          <w:b/>
        </w:rPr>
        <w:t>via la plateforme de dématérialisation</w:t>
      </w:r>
      <w:r>
        <w:t xml:space="preserve"> dans le même pli que son offre, mais dans un dossier différent qui portera la mention </w:t>
      </w:r>
      <w:r>
        <w:rPr>
          <w:rFonts w:cs="Arial"/>
          <w:bCs/>
          <w:szCs w:val="20"/>
        </w:rPr>
        <w:t>« 26110_PLAN_SOB_POLD – COPIE DE SAUVEGARDE – NE PAS OUVRIR » ;</w:t>
      </w:r>
    </w:p>
    <w:p w14:paraId="515BF19E" w14:textId="77777777" w:rsidR="00ED1AA7" w:rsidRDefault="00ED1AA7">
      <w:pPr>
        <w:rPr>
          <w:rFonts w:cs="Arial"/>
          <w:bCs/>
          <w:szCs w:val="20"/>
        </w:rPr>
      </w:pPr>
    </w:p>
    <w:p w14:paraId="04B75C7E" w14:textId="6D6453BE" w:rsidR="00ED1AA7" w:rsidRDefault="00E92B35">
      <w:pPr>
        <w:rPr>
          <w:rFonts w:cs="Arial"/>
          <w:bCs/>
          <w:szCs w:val="20"/>
        </w:rPr>
      </w:pPr>
      <w:r>
        <w:rPr>
          <w:rFonts w:cs="Arial"/>
          <w:bCs/>
          <w:szCs w:val="20"/>
        </w:rPr>
        <w:t xml:space="preserve">- </w:t>
      </w:r>
      <w:r>
        <w:rPr>
          <w:b/>
        </w:rPr>
        <w:t>sur support électronique (CD, DVD, etc…)</w:t>
      </w:r>
    </w:p>
    <w:p w14:paraId="25127D41" w14:textId="77777777" w:rsidR="00ED1AA7" w:rsidRDefault="00ED1AA7"/>
    <w:p w14:paraId="6609565B" w14:textId="77777777" w:rsidR="00ED1AA7" w:rsidRDefault="00E92B35">
      <w:r>
        <w:t xml:space="preserve">- </w:t>
      </w:r>
      <w:r>
        <w:rPr>
          <w:b/>
        </w:rPr>
        <w:t>sur support papier</w:t>
      </w:r>
      <w:r>
        <w:t xml:space="preserve">. </w:t>
      </w:r>
    </w:p>
    <w:p w14:paraId="117593C9" w14:textId="77777777" w:rsidR="00ED1AA7" w:rsidRDefault="00ED1AA7"/>
    <w:p w14:paraId="507AD0A6" w14:textId="40896212" w:rsidR="00ED1AA7" w:rsidRDefault="00E92B35">
      <w:pPr>
        <w:rPr>
          <w:rFonts w:eastAsia="Arial" w:cs="Arial"/>
          <w:szCs w:val="20"/>
          <w:u w:val="single"/>
        </w:rPr>
      </w:pPr>
      <w:r>
        <w:t xml:space="preserve">Pour ces deux derniers modes de transmission, la copie de sauvegarde est envoyée par lettre recommandée, avec avis de réception, ou remise en main propre contre récépissé aux horaires suivants exclusivement : </w:t>
      </w:r>
      <w:r>
        <w:rPr>
          <w:rFonts w:eastAsia="Arial" w:cs="Arial"/>
          <w:szCs w:val="20"/>
        </w:rPr>
        <w:t xml:space="preserve">du lundi au vendredi de 9h à 12h et de 13h30 à 17h30. </w:t>
      </w:r>
      <w:r>
        <w:rPr>
          <w:rFonts w:cs="Arial"/>
          <w:szCs w:val="20"/>
        </w:rPr>
        <w:t>En cas de dépôt en mains propres, le soumissionnaire est informé que toute personne souhaitant accéder aux locaux du service de la Commande publique doit s'identifier</w:t>
      </w:r>
      <w:r>
        <w:rPr>
          <w:rFonts w:eastAsia="Arial" w:cs="Arial"/>
          <w:szCs w:val="20"/>
        </w:rPr>
        <w:t xml:space="preserve"> à l'accueil de l'Hôtel de Ville et fournir une pièce d'identité, qui lui sera restituée à son départ. </w:t>
      </w:r>
      <w:r>
        <w:rPr>
          <w:rFonts w:eastAsia="Arial" w:cs="Arial"/>
          <w:szCs w:val="20"/>
          <w:u w:val="single"/>
        </w:rPr>
        <w:t>Le soumissionnaire doit tenir compte, pour la remise de sa copie de sauvegarde dans les délais, du temps nécessaire à l'accomplissement de ces formalités.</w:t>
      </w:r>
    </w:p>
    <w:p w14:paraId="55902FCF" w14:textId="77777777" w:rsidR="00ED1AA7" w:rsidRDefault="00ED1AA7">
      <w:pPr>
        <w:rPr>
          <w:rFonts w:eastAsia="Arial" w:cs="Arial"/>
          <w:szCs w:val="20"/>
          <w:u w:val="single"/>
        </w:rPr>
      </w:pPr>
    </w:p>
    <w:p w14:paraId="31BD9BC0" w14:textId="26DB8CFA" w:rsidR="00ED1AA7" w:rsidRDefault="00E92B35">
      <w:r>
        <w:rPr>
          <w:rFonts w:cs="Arial"/>
          <w:bCs/>
          <w:szCs w:val="20"/>
        </w:rPr>
        <w:t xml:space="preserve">Elle est remise dans un pli scellé à l’adresse figurant à l’article 1 ci-dessus </w:t>
      </w:r>
    </w:p>
    <w:p w14:paraId="06E7C420" w14:textId="77777777" w:rsidR="00ED1AA7" w:rsidRDefault="00ED1AA7">
      <w:pPr>
        <w:rPr>
          <w:rFonts w:cs="Arial"/>
          <w:bCs/>
          <w:szCs w:val="20"/>
        </w:rPr>
      </w:pPr>
    </w:p>
    <w:p w14:paraId="12A36353" w14:textId="7F9A588C" w:rsidR="00ED1AA7" w:rsidRDefault="00E92B35">
      <w:pPr>
        <w:rPr>
          <w:rFonts w:cs="Arial"/>
          <w:bCs/>
          <w:szCs w:val="20"/>
        </w:rPr>
      </w:pPr>
      <w:r>
        <w:rPr>
          <w:rFonts w:cs="Arial"/>
          <w:bCs/>
          <w:szCs w:val="20"/>
        </w:rPr>
        <w:t>Le pli comporte le nom du soumissionnaire et la mention « 26110_PLAN_SOB_POLD – COPIE DE SAUVEGARDE – NE PAS OUVRIR ».</w:t>
      </w:r>
    </w:p>
    <w:p w14:paraId="4947F3AF" w14:textId="77777777" w:rsidR="00ED1AA7" w:rsidRDefault="00ED1AA7">
      <w:pPr>
        <w:rPr>
          <w:rFonts w:cs="Arial"/>
          <w:bCs/>
          <w:szCs w:val="20"/>
        </w:rPr>
      </w:pPr>
    </w:p>
    <w:p w14:paraId="3911112C" w14:textId="77777777" w:rsidR="00ED1AA7" w:rsidRDefault="00E92B35">
      <w:r>
        <w:t xml:space="preserve">ATTENTION : le pli </w:t>
      </w:r>
      <w:r>
        <w:rPr>
          <w:b/>
          <w:u w:val="single"/>
        </w:rPr>
        <w:t xml:space="preserve">ne doit </w:t>
      </w:r>
      <w:r>
        <w:rPr>
          <w:b/>
          <w:bCs/>
          <w:u w:val="single"/>
        </w:rPr>
        <w:t>pas</w:t>
      </w:r>
      <w:r>
        <w:t xml:space="preserve"> comporter l'adresse ni même le nom de Paris Ouest La Défense, faute de quoi il serait renvoyé automatiquement par La Poste dans d'autres locaux, et ne pourrait de ce fait être pris en compte.</w:t>
      </w:r>
    </w:p>
    <w:p w14:paraId="1EEB3042" w14:textId="77777777" w:rsidR="00ED1AA7" w:rsidRDefault="00ED1AA7">
      <w:pPr>
        <w:rPr>
          <w:color w:val="FF0000"/>
        </w:rPr>
      </w:pPr>
    </w:p>
    <w:p w14:paraId="685C540B" w14:textId="04BB424D" w:rsidR="00ED1AA7" w:rsidRDefault="00E92B35">
      <w:pPr>
        <w:jc w:val="center"/>
      </w:pPr>
      <w:r>
        <w:t>*********</w:t>
      </w:r>
    </w:p>
    <w:p w14:paraId="3FA714DD" w14:textId="77777777" w:rsidR="00ED1AA7" w:rsidRDefault="00ED1AA7"/>
    <w:p w14:paraId="661660AC" w14:textId="40AFF2D2" w:rsidR="00ED1AA7" w:rsidRDefault="00E92B35">
      <w:r>
        <w:t>Quel que soit le mode de transmission de la copie de sauvegarde, celle dernière doit être adressée à l’acheteur dans les mêmes conditions de délais que l’offre dématérialisée, c’est-à-dire avant la date limite de remise des offres.</w:t>
      </w:r>
    </w:p>
    <w:p w14:paraId="739C63BB" w14:textId="77777777" w:rsidR="00ED1AA7" w:rsidRDefault="00ED1AA7"/>
    <w:p w14:paraId="08DB0B56" w14:textId="097089BD" w:rsidR="00ED1AA7" w:rsidRDefault="00E92B35">
      <w:r>
        <w:t>Si le pli contenant la copie de sauvegarde n’est pas ouvert, il sera détruit par l’acheteur.</w:t>
      </w:r>
    </w:p>
    <w:p w14:paraId="18466F00" w14:textId="77777777" w:rsidR="00ED1AA7" w:rsidRDefault="00ED1AA7"/>
    <w:p w14:paraId="7867046A" w14:textId="77777777" w:rsidR="00A66861" w:rsidRDefault="00A66861"/>
    <w:p w14:paraId="0FB302A1" w14:textId="385588B2" w:rsidR="00ED1AA7" w:rsidRDefault="00E92B35">
      <w:pPr>
        <w:pStyle w:val="Titre1"/>
      </w:pPr>
      <w:bookmarkStart w:id="29" w:name="_Toc233623667"/>
      <w:r>
        <w:t>ARTICLE 7 – EXAMEN DES CANDIDATURES ET DES OFFRES</w:t>
      </w:r>
      <w:bookmarkEnd w:id="29"/>
    </w:p>
    <w:p w14:paraId="44D03D0E" w14:textId="77777777" w:rsidR="00ED1AA7" w:rsidRDefault="00ED1AA7"/>
    <w:p w14:paraId="7BC70B8B" w14:textId="4F472A40" w:rsidR="00ED1AA7" w:rsidRDefault="00E92B35">
      <w:pPr>
        <w:pStyle w:val="Commentaire"/>
      </w:pPr>
      <w:r>
        <w:t>Le soumissionnaire veille à ce que le pli déposé sur la plateforme de dématérialisation de l’acheteur comprenne à la fois :</w:t>
      </w:r>
    </w:p>
    <w:p w14:paraId="1EBB5F72" w14:textId="77777777" w:rsidR="00ED1AA7" w:rsidRDefault="00E92B35" w:rsidP="008F7EC5">
      <w:pPr>
        <w:pStyle w:val="Commentaire"/>
        <w:numPr>
          <w:ilvl w:val="0"/>
          <w:numId w:val="10"/>
        </w:numPr>
      </w:pPr>
      <w:r>
        <w:t xml:space="preserve">son dossier de candidature (unique en cas d’allotissement) </w:t>
      </w:r>
    </w:p>
    <w:p w14:paraId="49A433A2" w14:textId="36CF4946" w:rsidR="00ED1AA7" w:rsidRDefault="00E92B35" w:rsidP="008F7EC5">
      <w:pPr>
        <w:pStyle w:val="Commentaire"/>
        <w:numPr>
          <w:ilvl w:val="0"/>
          <w:numId w:val="10"/>
        </w:numPr>
      </w:pPr>
      <w:r>
        <w:rPr>
          <w:u w:val="single"/>
        </w:rPr>
        <w:t>ET</w:t>
      </w:r>
      <w:r>
        <w:t xml:space="preserve"> son dossier d’offre(s) en cas d’allotissement.</w:t>
      </w:r>
    </w:p>
    <w:p w14:paraId="493ADA52" w14:textId="77777777" w:rsidR="00ED1AA7" w:rsidRDefault="00ED1AA7">
      <w:pPr>
        <w:pStyle w:val="Commentaire"/>
      </w:pPr>
    </w:p>
    <w:p w14:paraId="776FF40D" w14:textId="43E1F805" w:rsidR="00ED1AA7" w:rsidRDefault="00E92B35">
      <w:r>
        <w:t xml:space="preserve">Conformément à l’article R. 2151-6 du code de la Commande publique, en cas d’offres successives remises par un soumissionnaire, </w:t>
      </w:r>
      <w:r>
        <w:rPr>
          <w:b/>
        </w:rPr>
        <w:t>seul est ouvert</w:t>
      </w:r>
      <w:r>
        <w:t xml:space="preserve"> </w:t>
      </w:r>
      <w:r>
        <w:rPr>
          <w:b/>
        </w:rPr>
        <w:t>le dernier pli reçu</w:t>
      </w:r>
      <w:r>
        <w:t xml:space="preserve"> par l'acheteur dans le délai fixé pour la remise des offres. </w:t>
      </w:r>
      <w:r>
        <w:rPr>
          <w:u w:val="single"/>
        </w:rPr>
        <w:t>Ainsi, le soumissionnaire veille à ce que, dans son dernier pli, figure bien la totalité des éléments relatifs à sa candidature et à son offre</w:t>
      </w:r>
      <w:r>
        <w:t>.</w:t>
      </w:r>
    </w:p>
    <w:p w14:paraId="46FEAEE4" w14:textId="77777777" w:rsidR="00ED1AA7" w:rsidRDefault="00ED1AA7">
      <w:pPr>
        <w:pStyle w:val="Commentaire"/>
      </w:pPr>
    </w:p>
    <w:p w14:paraId="12B4932C" w14:textId="109C2AE6" w:rsidR="00ED1AA7" w:rsidRDefault="00E92B35">
      <w:r>
        <w:t>L’acheteur peut décider d’examiner les offres avant les candidatures. Il pourra donc rejeter une offre irrégulière, inacceptable ou inappropriée, sans avoir examiné la recevabilité de la candidature du soumissionnaire.</w:t>
      </w:r>
    </w:p>
    <w:p w14:paraId="7AAB34E2" w14:textId="77777777" w:rsidR="00ED1AA7" w:rsidRDefault="00ED1AA7">
      <w:pPr>
        <w:rPr>
          <w:shd w:val="clear" w:color="auto" w:fill="FFFF00"/>
        </w:rPr>
      </w:pPr>
    </w:p>
    <w:p w14:paraId="1518B246" w14:textId="77777777" w:rsidR="00ED1AA7" w:rsidRDefault="00E92B35">
      <w:pPr>
        <w:pStyle w:val="Titre2"/>
      </w:pPr>
      <w:bookmarkStart w:id="30" w:name="_Toc233623668"/>
      <w:r>
        <w:t>7.1 Sélection des candidatures</w:t>
      </w:r>
      <w:bookmarkEnd w:id="30"/>
    </w:p>
    <w:p w14:paraId="6F7BD7C2" w14:textId="77777777" w:rsidR="00ED1AA7" w:rsidRDefault="00ED1AA7"/>
    <w:p w14:paraId="7D110D62" w14:textId="156A0793" w:rsidR="00ED1AA7" w:rsidRDefault="00E92B35">
      <w:pPr>
        <w:rPr>
          <w:rFonts w:cs="Arial"/>
          <w:szCs w:val="20"/>
        </w:rPr>
      </w:pPr>
      <w:r>
        <w:rPr>
          <w:rFonts w:cs="Arial"/>
          <w:szCs w:val="20"/>
        </w:rPr>
        <w:t>Au-delà des clauses d’exclusion prévues aux articles L. 2141-1 à L. 2141-5 du code de la Commande publique, les candidatures remises feront l’objet d’un examen visant à vérifier l’aptitude à exercer l’activité professionnelle des soumissionnaires, leurs capacités économiques, financières, techniques et professionnelles.</w:t>
      </w:r>
    </w:p>
    <w:p w14:paraId="123B55A0" w14:textId="77777777" w:rsidR="00ED1AA7" w:rsidRDefault="00ED1AA7"/>
    <w:p w14:paraId="095099B2" w14:textId="4198452E" w:rsidR="00ED1AA7" w:rsidRDefault="00E92B35">
      <w:pPr>
        <w:rPr>
          <w:rFonts w:ascii="OpenSymbol" w:eastAsia="OpenSymbol" w:hAnsi="OpenSymbol" w:cs="OpenSymbol"/>
          <w:szCs w:val="20"/>
        </w:rPr>
      </w:pPr>
      <w:r>
        <w:rPr>
          <w:rFonts w:cs="Arial"/>
          <w:bCs/>
          <w:szCs w:val="20"/>
        </w:rPr>
        <w:t>L</w:t>
      </w:r>
      <w:r>
        <w:rPr>
          <w:rFonts w:eastAsia="Arial" w:cs="Arial"/>
          <w:szCs w:val="20"/>
        </w:rPr>
        <w:t>’acheteur se réserve le droit de rejeter la candidature :</w:t>
      </w:r>
    </w:p>
    <w:p w14:paraId="7424E879" w14:textId="2DB2FC4B" w:rsidR="00ED1AA7" w:rsidRDefault="00E92B35" w:rsidP="008F7EC5">
      <w:pPr>
        <w:pStyle w:val="Paragraphedeliste"/>
        <w:numPr>
          <w:ilvl w:val="0"/>
          <w:numId w:val="13"/>
        </w:numPr>
        <w:jc w:val="left"/>
        <w:rPr>
          <w:rFonts w:eastAsia="OpenSymbol" w:cs="Arial"/>
          <w:szCs w:val="20"/>
        </w:rPr>
      </w:pPr>
      <w:r>
        <w:rPr>
          <w:rFonts w:eastAsia="Arial" w:cs="Arial"/>
          <w:szCs w:val="20"/>
        </w:rPr>
        <w:t>du candidat n’ayant pas la qualité pour présenter une offre,</w:t>
      </w:r>
    </w:p>
    <w:p w14:paraId="46F76D9B" w14:textId="2FF9B880" w:rsidR="00ED1AA7" w:rsidRDefault="00E92B35" w:rsidP="008F7EC5">
      <w:pPr>
        <w:pStyle w:val="Paragraphedeliste"/>
        <w:numPr>
          <w:ilvl w:val="0"/>
          <w:numId w:val="13"/>
        </w:numPr>
        <w:jc w:val="left"/>
        <w:rPr>
          <w:rFonts w:eastAsia="OpenSymbol" w:cs="Arial"/>
          <w:szCs w:val="20"/>
        </w:rPr>
      </w:pPr>
      <w:r>
        <w:rPr>
          <w:rFonts w:eastAsia="Arial" w:cs="Arial"/>
          <w:szCs w:val="20"/>
        </w:rPr>
        <w:t>du candidat dont les capacités paraissent insuffisantes,</w:t>
      </w:r>
    </w:p>
    <w:p w14:paraId="1D34B2B2" w14:textId="626E9E42" w:rsidR="00ED1AA7" w:rsidRDefault="00E92B35" w:rsidP="008F7EC5">
      <w:pPr>
        <w:pStyle w:val="Paragraphedeliste"/>
        <w:numPr>
          <w:ilvl w:val="0"/>
          <w:numId w:val="13"/>
        </w:numPr>
        <w:jc w:val="left"/>
        <w:rPr>
          <w:rFonts w:cs="Arial"/>
        </w:rPr>
      </w:pPr>
      <w:r>
        <w:rPr>
          <w:rFonts w:eastAsia="Arial" w:cs="Arial"/>
          <w:szCs w:val="20"/>
        </w:rPr>
        <w:t>du candidat dont le dossier de candidature est incomplet.</w:t>
      </w:r>
    </w:p>
    <w:p w14:paraId="09B812E9" w14:textId="77777777" w:rsidR="00ED1AA7" w:rsidRDefault="00ED1AA7"/>
    <w:p w14:paraId="75BA299E" w14:textId="77777777" w:rsidR="00ED1AA7" w:rsidRDefault="00E92B35">
      <w:pPr>
        <w:pStyle w:val="Titre2"/>
      </w:pPr>
      <w:bookmarkStart w:id="31" w:name="_Toc233623669"/>
      <w:r>
        <w:t>7.2 Critères de sélection des offres</w:t>
      </w:r>
      <w:bookmarkEnd w:id="31"/>
    </w:p>
    <w:p w14:paraId="19058E25" w14:textId="77777777" w:rsidR="00ED1AA7" w:rsidRDefault="00ED1AA7">
      <w:pPr>
        <w:rPr>
          <w:highlight w:val="cyan"/>
        </w:rPr>
      </w:pPr>
    </w:p>
    <w:p w14:paraId="5C3E362D" w14:textId="4F87D237" w:rsidR="00ED1AA7" w:rsidRPr="00AC6531" w:rsidRDefault="00E92B35">
      <w:pPr>
        <w:rPr>
          <w:rFonts w:cs="Arial"/>
        </w:rPr>
      </w:pPr>
      <w:r w:rsidRPr="00BA6D3A">
        <w:rPr>
          <w:rFonts w:eastAsiaTheme="minorHAnsi" w:cs="Arial"/>
          <w:szCs w:val="20"/>
          <w:lang w:eastAsia="en-US" w:bidi="ar-SA"/>
        </w:rPr>
        <w:t>L’acheteur choisit l’offre économiquement la plus avantageuse en fonction des critères pondérés ci-dessous :</w:t>
      </w:r>
    </w:p>
    <w:p w14:paraId="59B14001" w14:textId="77777777" w:rsidR="00ED1AA7" w:rsidRPr="00AC6531" w:rsidRDefault="00ED1AA7">
      <w:pPr>
        <w:rPr>
          <w:rFonts w:cs="Arial"/>
        </w:rPr>
      </w:pPr>
    </w:p>
    <w:p w14:paraId="7FF1472B" w14:textId="21B62EA3" w:rsidR="00ED1AA7" w:rsidRPr="00AC6531" w:rsidRDefault="00E92B35" w:rsidP="008F7EC5">
      <w:pPr>
        <w:pStyle w:val="Paragraphedeliste"/>
        <w:numPr>
          <w:ilvl w:val="0"/>
          <w:numId w:val="12"/>
        </w:numPr>
        <w:rPr>
          <w:rFonts w:cs="Arial"/>
        </w:rPr>
      </w:pPr>
      <w:r w:rsidRPr="00AC6531">
        <w:rPr>
          <w:rFonts w:cs="Arial"/>
          <w:szCs w:val="20"/>
        </w:rPr>
        <w:t>C</w:t>
      </w:r>
      <w:r w:rsidR="0011751A" w:rsidRPr="00AC6531">
        <w:rPr>
          <w:rFonts w:cs="Arial"/>
          <w:szCs w:val="20"/>
        </w:rPr>
        <w:t>ritère 1 : Valeur financière : 50%</w:t>
      </w:r>
      <w:r w:rsidR="00900581" w:rsidRPr="00AC6531">
        <w:rPr>
          <w:rFonts w:cs="Arial"/>
          <w:szCs w:val="20"/>
        </w:rPr>
        <w:t xml:space="preserve">, </w:t>
      </w:r>
      <w:r w:rsidR="00900581" w:rsidRPr="00BA6D3A">
        <w:rPr>
          <w:rFonts w:eastAsiaTheme="minorHAnsi" w:cs="Arial"/>
          <w:szCs w:val="20"/>
          <w:lang w:eastAsia="en-US" w:bidi="ar-SA"/>
        </w:rPr>
        <w:t xml:space="preserve">analysée sur la base </w:t>
      </w:r>
      <w:r w:rsidR="00484DCE">
        <w:rPr>
          <w:rFonts w:eastAsiaTheme="minorHAnsi" w:cs="Arial"/>
          <w:szCs w:val="20"/>
          <w:lang w:eastAsia="en-US" w:bidi="ar-SA"/>
        </w:rPr>
        <w:t xml:space="preserve">d’une simulation réaliste fondée sur le </w:t>
      </w:r>
      <w:r w:rsidR="00900581" w:rsidRPr="00BA6D3A">
        <w:rPr>
          <w:rFonts w:eastAsiaTheme="minorHAnsi" w:cs="Arial"/>
          <w:szCs w:val="20"/>
          <w:lang w:eastAsia="en-US" w:bidi="ar-SA"/>
        </w:rPr>
        <w:t xml:space="preserve">montant </w:t>
      </w:r>
      <w:r w:rsidR="00484DCE">
        <w:rPr>
          <w:rFonts w:eastAsiaTheme="minorHAnsi" w:cs="Arial"/>
          <w:szCs w:val="20"/>
          <w:lang w:eastAsia="en-US" w:bidi="ar-SA"/>
        </w:rPr>
        <w:t>du forfait indiqué</w:t>
      </w:r>
      <w:r w:rsidR="00484DCE" w:rsidRPr="00BA6D3A">
        <w:rPr>
          <w:rFonts w:eastAsiaTheme="minorHAnsi" w:cs="Arial"/>
          <w:szCs w:val="20"/>
          <w:lang w:eastAsia="en-US" w:bidi="ar-SA"/>
        </w:rPr>
        <w:t xml:space="preserve"> </w:t>
      </w:r>
      <w:r w:rsidR="00900581" w:rsidRPr="00BA6D3A">
        <w:rPr>
          <w:rFonts w:eastAsiaTheme="minorHAnsi" w:cs="Arial"/>
          <w:szCs w:val="20"/>
          <w:lang w:eastAsia="en-US" w:bidi="ar-SA"/>
        </w:rPr>
        <w:t xml:space="preserve">dans la DPGF </w:t>
      </w:r>
      <w:r w:rsidR="00484DCE">
        <w:rPr>
          <w:rFonts w:eastAsiaTheme="minorHAnsi" w:cs="Arial"/>
          <w:szCs w:val="20"/>
          <w:lang w:eastAsia="en-US" w:bidi="ar-SA"/>
        </w:rPr>
        <w:t>et sur certains prix unitaires du</w:t>
      </w:r>
      <w:r w:rsidR="00900581" w:rsidRPr="00BA6D3A">
        <w:rPr>
          <w:rFonts w:eastAsiaTheme="minorHAnsi" w:cs="Arial"/>
          <w:szCs w:val="20"/>
          <w:lang w:eastAsia="en-US" w:bidi="ar-SA"/>
        </w:rPr>
        <w:t xml:space="preserve"> BPU</w:t>
      </w:r>
    </w:p>
    <w:p w14:paraId="58A425BB" w14:textId="77777777" w:rsidR="00900581" w:rsidRPr="00AC6531" w:rsidRDefault="00900581" w:rsidP="00900581">
      <w:pPr>
        <w:pStyle w:val="Paragraphedeliste"/>
        <w:ind w:left="720"/>
        <w:rPr>
          <w:rFonts w:cs="Arial"/>
        </w:rPr>
      </w:pPr>
    </w:p>
    <w:p w14:paraId="66443088" w14:textId="42DBAA8B" w:rsidR="00ED1AA7" w:rsidRPr="00AC6531" w:rsidRDefault="00E92B35" w:rsidP="008F7EC5">
      <w:pPr>
        <w:pStyle w:val="Paragraphedeliste"/>
        <w:numPr>
          <w:ilvl w:val="0"/>
          <w:numId w:val="12"/>
        </w:numPr>
        <w:rPr>
          <w:rFonts w:cs="Arial"/>
        </w:rPr>
      </w:pPr>
      <w:r w:rsidRPr="00AC6531">
        <w:rPr>
          <w:rFonts w:cs="Arial"/>
        </w:rPr>
        <w:t>Critère 2 : Valeur technique</w:t>
      </w:r>
      <w:r w:rsidR="00900581" w:rsidRPr="00AC6531">
        <w:rPr>
          <w:rFonts w:cs="Arial"/>
        </w:rPr>
        <w:t xml:space="preserve"> : 50%, </w:t>
      </w:r>
      <w:r w:rsidR="00900581" w:rsidRPr="00BA6D3A">
        <w:rPr>
          <w:rFonts w:eastAsiaTheme="minorHAnsi" w:cs="Arial"/>
          <w:szCs w:val="20"/>
          <w:lang w:eastAsia="en-US" w:bidi="ar-SA"/>
        </w:rPr>
        <w:t>analysée sur la base des éléments détaillés dans le CRT</w:t>
      </w:r>
      <w:r w:rsidR="00A66861">
        <w:rPr>
          <w:rFonts w:eastAsiaTheme="minorHAnsi" w:cs="Arial"/>
          <w:szCs w:val="20"/>
          <w:lang w:eastAsia="en-US" w:bidi="ar-SA"/>
        </w:rPr>
        <w:t xml:space="preserve"> et scindés en deux sous-critères,</w:t>
      </w:r>
      <w:r w:rsidR="00900581" w:rsidRPr="00BA6D3A">
        <w:rPr>
          <w:rFonts w:eastAsiaTheme="minorHAnsi" w:cs="Arial"/>
          <w:szCs w:val="20"/>
          <w:lang w:eastAsia="en-US" w:bidi="ar-SA"/>
        </w:rPr>
        <w:t xml:space="preserve"> comme suit :</w:t>
      </w:r>
    </w:p>
    <w:p w14:paraId="07083B97" w14:textId="030FE327" w:rsidR="00900581" w:rsidRPr="00900581" w:rsidRDefault="00900581" w:rsidP="008F7EC5">
      <w:pPr>
        <w:pStyle w:val="Paragraphedeliste"/>
        <w:numPr>
          <w:ilvl w:val="0"/>
          <w:numId w:val="14"/>
        </w:numPr>
        <w:rPr>
          <w:bCs/>
        </w:rPr>
      </w:pPr>
      <w:r w:rsidRPr="00900581">
        <w:rPr>
          <w:bCs/>
          <w:u w:val="single"/>
        </w:rPr>
        <w:t>Sous-critère 2.1</w:t>
      </w:r>
      <w:r>
        <w:rPr>
          <w:bCs/>
        </w:rPr>
        <w:t> : O</w:t>
      </w:r>
      <w:r w:rsidRPr="00900581">
        <w:rPr>
          <w:bCs/>
        </w:rPr>
        <w:t>rganisation et méthodologie proposées pour la réalisation de chaque p</w:t>
      </w:r>
      <w:r>
        <w:rPr>
          <w:bCs/>
        </w:rPr>
        <w:t>hase du Plan de Sobriété (35%) </w:t>
      </w:r>
    </w:p>
    <w:p w14:paraId="6E63812F" w14:textId="18BC9481" w:rsidR="00900581" w:rsidRPr="00937B39" w:rsidRDefault="00900581" w:rsidP="008F7EC5">
      <w:pPr>
        <w:pStyle w:val="texte1"/>
        <w:numPr>
          <w:ilvl w:val="0"/>
          <w:numId w:val="14"/>
        </w:numPr>
        <w:spacing w:before="0" w:after="0"/>
        <w:rPr>
          <w:rFonts w:ascii="Arial" w:hAnsi="Arial" w:cs="Arial"/>
          <w:bCs/>
          <w:szCs w:val="20"/>
        </w:rPr>
      </w:pPr>
      <w:r w:rsidRPr="00900581">
        <w:rPr>
          <w:rFonts w:ascii="Arial" w:hAnsi="Arial" w:cs="Arial"/>
          <w:bCs/>
          <w:szCs w:val="20"/>
          <w:u w:val="single"/>
        </w:rPr>
        <w:t>Sous-critère 2.2</w:t>
      </w:r>
      <w:r w:rsidRPr="00900581">
        <w:rPr>
          <w:rFonts w:ascii="Arial" w:hAnsi="Arial" w:cs="Arial"/>
          <w:bCs/>
          <w:szCs w:val="20"/>
        </w:rPr>
        <w:t> : Moyens humains et matériels dédiés à l’exécution des prestations (15%) </w:t>
      </w:r>
    </w:p>
    <w:p w14:paraId="2E6AFB80" w14:textId="77777777" w:rsidR="00900581" w:rsidRDefault="00900581" w:rsidP="00900581">
      <w:pPr>
        <w:pStyle w:val="Paragraphedeliste"/>
        <w:ind w:left="1440"/>
        <w:rPr>
          <w:color w:val="FF0000"/>
        </w:rPr>
      </w:pPr>
    </w:p>
    <w:p w14:paraId="1BD65D80" w14:textId="77777777" w:rsidR="00A66861" w:rsidRDefault="00A66861" w:rsidP="00900581">
      <w:pPr>
        <w:pStyle w:val="Paragraphedeliste"/>
        <w:ind w:left="1440"/>
        <w:rPr>
          <w:color w:val="FF0000"/>
        </w:rPr>
      </w:pPr>
    </w:p>
    <w:p w14:paraId="3A3950BA" w14:textId="77777777" w:rsidR="00ED1AA7" w:rsidRDefault="00ED1AA7"/>
    <w:p w14:paraId="18DE2CA8" w14:textId="2476DB11" w:rsidR="00ED1AA7" w:rsidRDefault="00E92B35">
      <w:pPr>
        <w:pStyle w:val="Titre2"/>
      </w:pPr>
      <w:bookmarkStart w:id="32" w:name="_Toc233623670"/>
      <w:r>
        <w:t xml:space="preserve">7.3 Demande de renseignements complémentaires </w:t>
      </w:r>
      <w:bookmarkEnd w:id="32"/>
    </w:p>
    <w:p w14:paraId="1A874F1D" w14:textId="77777777" w:rsidR="00900581" w:rsidRPr="00900581" w:rsidRDefault="00900581" w:rsidP="00900581"/>
    <w:p w14:paraId="1E63D504" w14:textId="6421FAE2" w:rsidR="00ED1AA7" w:rsidRDefault="00E92B35">
      <w:pPr>
        <w:rPr>
          <w:b/>
          <w:shd w:val="clear" w:color="auto" w:fill="FFFF00"/>
        </w:rPr>
      </w:pPr>
      <w:r>
        <w:rPr>
          <w:color w:val="000000"/>
        </w:rPr>
        <w:t xml:space="preserve">Si l’acheteur l’estime nécessaire, en cours d’analyse des offres, il peut demander à certains ou tous les soumissionnaires des précisions sur la teneur de leur offre. </w:t>
      </w:r>
      <w:r>
        <w:rPr>
          <w:b/>
        </w:rPr>
        <w:t>Il ne s'agit en aucun cas d'une négociation permettant au soumissionnaire destinataire de la demande de modifier son offre.</w:t>
      </w:r>
      <w:r>
        <w:rPr>
          <w:b/>
          <w:shd w:val="clear" w:color="auto" w:fill="FFFF00"/>
        </w:rPr>
        <w:t xml:space="preserve"> </w:t>
      </w:r>
    </w:p>
    <w:p w14:paraId="76EFC5D4" w14:textId="77777777" w:rsidR="00ED1AA7" w:rsidRDefault="00ED1AA7"/>
    <w:p w14:paraId="67854BE0" w14:textId="77777777" w:rsidR="00ED1AA7" w:rsidRDefault="00E92B35">
      <w:r>
        <w:rPr>
          <w:color w:val="000000"/>
        </w:rPr>
        <w:t>Le soumissionnaire qui reçoit une telle demande est tenu de répondre dans le délai qui lui sera alors imparti, faute de quoi sa réponse ne sera pas prise en compte pour l'analyse des offres.</w:t>
      </w:r>
    </w:p>
    <w:p w14:paraId="79B7A7B4" w14:textId="77777777" w:rsidR="00ED1AA7" w:rsidRDefault="00ED1AA7">
      <w:pPr>
        <w:widowControl/>
        <w:rPr>
          <w:u w:val="single"/>
        </w:rPr>
      </w:pPr>
    </w:p>
    <w:p w14:paraId="2727901D" w14:textId="77777777" w:rsidR="00ED1AA7" w:rsidRDefault="00ED1AA7">
      <w:pPr>
        <w:widowControl/>
        <w:rPr>
          <w:u w:val="single"/>
        </w:rPr>
      </w:pPr>
    </w:p>
    <w:p w14:paraId="74E94D36" w14:textId="5F135625" w:rsidR="00ED1AA7" w:rsidRDefault="00E92B35">
      <w:pPr>
        <w:pStyle w:val="Titre1"/>
      </w:pPr>
      <w:bookmarkStart w:id="33" w:name="_Toc233623671"/>
      <w:r>
        <w:t>ARTICLE 8 – NÉGOCIATION</w:t>
      </w:r>
      <w:bookmarkEnd w:id="33"/>
    </w:p>
    <w:p w14:paraId="3543FF10" w14:textId="77777777" w:rsidR="00ED1AA7" w:rsidRDefault="00ED1AA7"/>
    <w:p w14:paraId="7A2E3D9A" w14:textId="77777777" w:rsidR="00ED1AA7" w:rsidRDefault="00E92B35">
      <w:pPr>
        <w:rPr>
          <w:szCs w:val="20"/>
        </w:rPr>
      </w:pPr>
      <w:r>
        <w:t xml:space="preserve">L’acheteur négocie avec les soumissionnaires ayant présenté les trois meilleures offres à l’issue d'une première phase d’analyse. </w:t>
      </w:r>
    </w:p>
    <w:p w14:paraId="5DD8A86A" w14:textId="77777777" w:rsidR="00ED1AA7" w:rsidRDefault="00ED1AA7">
      <w:pPr>
        <w:rPr>
          <w:szCs w:val="20"/>
        </w:rPr>
      </w:pPr>
    </w:p>
    <w:p w14:paraId="52D6169C" w14:textId="77777777" w:rsidR="00ED1AA7" w:rsidRDefault="00E92B35">
      <w:r>
        <w:rPr>
          <w:szCs w:val="20"/>
        </w:rPr>
        <w:t>Conformément à l’article R. 2123-5 du code de la Commande publique</w:t>
      </w:r>
      <w:r>
        <w:t>, il peut cependant attribuer le contrat sur la base des offres initiales sans négociation.</w:t>
      </w:r>
    </w:p>
    <w:p w14:paraId="40A91672" w14:textId="77777777" w:rsidR="00ED1AA7" w:rsidRDefault="00E92B35">
      <w:r>
        <w:t xml:space="preserve">La négociation pourra porter sur tous les éléments de l'offre, qu'ils soient techniques ou financiers. </w:t>
      </w:r>
    </w:p>
    <w:p w14:paraId="31CEDB7F" w14:textId="77777777" w:rsidR="00ED1AA7" w:rsidRDefault="00ED1AA7"/>
    <w:p w14:paraId="01A66B54" w14:textId="367909AE" w:rsidR="00ED1AA7" w:rsidRDefault="00E92B35">
      <w:pPr>
        <w:rPr>
          <w:bCs/>
        </w:rPr>
      </w:pPr>
      <w:r>
        <w:rPr>
          <w:bCs/>
        </w:rPr>
        <w:t>Les négociations pourront avoir lieu par échange de courrier, ou se tenir dans les locaux de l’acheteur ou par le biais de la visio</w:t>
      </w:r>
      <w:r>
        <w:rPr>
          <w:bCs/>
        </w:rPr>
        <w:noBreakHyphen/>
        <w:t xml:space="preserve">conférence. Dans ce cas, les participants y sont invités par écrit, dans les meilleurs délais avant la date prévue. </w:t>
      </w:r>
    </w:p>
    <w:p w14:paraId="30299DBC" w14:textId="77777777" w:rsidR="00ED1AA7" w:rsidRDefault="00ED1AA7">
      <w:pPr>
        <w:rPr>
          <w:bCs/>
        </w:rPr>
      </w:pPr>
    </w:p>
    <w:p w14:paraId="67C766EF" w14:textId="68701D86" w:rsidR="00ED1AA7" w:rsidRDefault="00E92B35">
      <w:pPr>
        <w:rPr>
          <w:bCs/>
        </w:rPr>
      </w:pPr>
      <w:r>
        <w:rPr>
          <w:bCs/>
        </w:rPr>
        <w:t>À l'issue de ces échanges, les participants remettront un complément d'offre « après négociation », qui récapitulera tous les points techniques et financiers abordés. La notation finale se fait sur la base de ces compléments.</w:t>
      </w:r>
    </w:p>
    <w:p w14:paraId="2CAB655B" w14:textId="77777777" w:rsidR="00ED1AA7" w:rsidRDefault="00ED1AA7"/>
    <w:p w14:paraId="1683BB3D" w14:textId="77777777" w:rsidR="00ED1AA7" w:rsidRDefault="00ED1AA7"/>
    <w:p w14:paraId="3424EB2D" w14:textId="4B7C7CC8" w:rsidR="00ED1AA7" w:rsidRDefault="00E92B35">
      <w:pPr>
        <w:pStyle w:val="Titre1"/>
      </w:pPr>
      <w:bookmarkStart w:id="34" w:name="_Toc233623672"/>
      <w:r>
        <w:t xml:space="preserve">ARTICLE 9 – </w:t>
      </w:r>
      <w:bookmarkStart w:id="35" w:name="_Toc477944753"/>
      <w:r>
        <w:t>PIÈCES À FOURNIR PAR L’ATTRIBUTAIRE PRESSENTI</w:t>
      </w:r>
      <w:bookmarkEnd w:id="34"/>
      <w:bookmarkEnd w:id="35"/>
    </w:p>
    <w:p w14:paraId="075EFA90" w14:textId="77777777" w:rsidR="00ED1AA7" w:rsidRDefault="00ED1AA7"/>
    <w:p w14:paraId="1DB16B1B" w14:textId="6628D951" w:rsidR="00ED1AA7" w:rsidRDefault="00E92B35">
      <w:pPr>
        <w:widowControl/>
        <w:rPr>
          <w:rFonts w:cs="Arial"/>
          <w:color w:val="000000"/>
          <w:szCs w:val="20"/>
        </w:rPr>
      </w:pPr>
      <w:r>
        <w:rPr>
          <w:rFonts w:cs="Arial"/>
          <w:color w:val="000000"/>
          <w:szCs w:val="20"/>
        </w:rPr>
        <w:t xml:space="preserve">Le soumissionnaire auquel il est envisagé d’attribuer le contrat après l’examen des offres, produit, </w:t>
      </w:r>
      <w:r>
        <w:rPr>
          <w:rFonts w:cs="Arial"/>
          <w:color w:val="000000"/>
          <w:szCs w:val="20"/>
          <w:u w:val="single"/>
        </w:rPr>
        <w:t xml:space="preserve">dans un délai de 10 jours calendaires, </w:t>
      </w:r>
      <w:r>
        <w:rPr>
          <w:rFonts w:cs="Arial"/>
          <w:color w:val="000000"/>
          <w:szCs w:val="20"/>
        </w:rPr>
        <w:t>les pièces suivantes (</w:t>
      </w:r>
      <w:r>
        <w:rPr>
          <w:color w:val="000000"/>
        </w:rPr>
        <w:t>notamment listées aux a</w:t>
      </w:r>
      <w:r>
        <w:rPr>
          <w:szCs w:val="20"/>
        </w:rPr>
        <w:t>rticles R. 2143-6 à R. 2143-10 du code de la Commande publique</w:t>
      </w:r>
      <w:r>
        <w:rPr>
          <w:rFonts w:cs="Arial"/>
          <w:bCs/>
          <w:szCs w:val="20"/>
        </w:rPr>
        <w:t xml:space="preserve">) </w:t>
      </w:r>
      <w:r>
        <w:rPr>
          <w:rFonts w:cs="Arial"/>
          <w:color w:val="000000"/>
          <w:szCs w:val="20"/>
        </w:rPr>
        <w:t>:</w:t>
      </w:r>
    </w:p>
    <w:p w14:paraId="6982172E" w14:textId="77777777" w:rsidR="00ED1AA7" w:rsidRDefault="00ED1AA7">
      <w:pPr>
        <w:widowControl/>
        <w:rPr>
          <w:rFonts w:cs="Arial"/>
          <w:color w:val="000000"/>
          <w:szCs w:val="20"/>
        </w:rPr>
      </w:pPr>
    </w:p>
    <w:p w14:paraId="08E72FA7" w14:textId="77777777" w:rsidR="00ED1AA7" w:rsidRDefault="00E92B35">
      <w:pPr>
        <w:widowControl/>
        <w:numPr>
          <w:ilvl w:val="0"/>
          <w:numId w:val="2"/>
        </w:numPr>
        <w:tabs>
          <w:tab w:val="clear" w:pos="720"/>
          <w:tab w:val="num" w:pos="0"/>
          <w:tab w:val="left" w:pos="708"/>
        </w:tabs>
      </w:pPr>
      <w:r>
        <w:t>l’acte d’engagement (ATTRI1).</w:t>
      </w:r>
    </w:p>
    <w:p w14:paraId="7505EDE0" w14:textId="7F83948B" w:rsidR="00ED1AA7" w:rsidRDefault="00E92B35">
      <w:pPr>
        <w:tabs>
          <w:tab w:val="left" w:pos="708"/>
        </w:tabs>
        <w:ind w:left="720"/>
      </w:pPr>
      <w:r>
        <w:t>*signé manuscritement,</w:t>
      </w:r>
    </w:p>
    <w:p w14:paraId="64F52A96" w14:textId="77777777" w:rsidR="00ED1AA7" w:rsidRDefault="00E92B35">
      <w:pPr>
        <w:tabs>
          <w:tab w:val="left" w:pos="708"/>
        </w:tabs>
        <w:ind w:left="720"/>
      </w:pPr>
      <w:r>
        <w:t>Rappel : une signature scannée n’est pas valide.</w:t>
      </w:r>
    </w:p>
    <w:p w14:paraId="75E6A788" w14:textId="5DA45EB6" w:rsidR="00ED1AA7" w:rsidRDefault="00E92B35">
      <w:pPr>
        <w:tabs>
          <w:tab w:val="left" w:pos="708"/>
        </w:tabs>
        <w:ind w:left="720"/>
      </w:pPr>
      <w:r>
        <w:t>ou</w:t>
      </w:r>
    </w:p>
    <w:p w14:paraId="37A5D853" w14:textId="415AAE4D" w:rsidR="00ED1AA7" w:rsidRDefault="00E92B35">
      <w:pPr>
        <w:tabs>
          <w:tab w:val="left" w:pos="283"/>
        </w:tabs>
      </w:pPr>
      <w:r>
        <w:tab/>
      </w:r>
      <w:r>
        <w:tab/>
        <w:t>**signé électroniquement en version PDF, avec un jeton de signature valide intégré au document,</w:t>
      </w:r>
    </w:p>
    <w:p w14:paraId="2816DEB1" w14:textId="77777777" w:rsidR="00ED1AA7" w:rsidRDefault="00ED1AA7">
      <w:pPr>
        <w:tabs>
          <w:tab w:val="left" w:pos="283"/>
        </w:tabs>
        <w:rPr>
          <w:rFonts w:eastAsia="Arial" w:cs="Arial"/>
          <w:szCs w:val="20"/>
        </w:rPr>
      </w:pPr>
    </w:p>
    <w:p w14:paraId="3D1FA8AA" w14:textId="77777777" w:rsidR="00ED1AA7" w:rsidRDefault="00E92B35" w:rsidP="008F7EC5">
      <w:pPr>
        <w:numPr>
          <w:ilvl w:val="0"/>
          <w:numId w:val="9"/>
        </w:numPr>
      </w:pPr>
      <w:r>
        <w:rPr>
          <w:color w:val="000000"/>
        </w:rPr>
        <w:t>une « attestation de vigilance » (Urssaf, MSA, etc.) datant de moins de six mois</w:t>
      </w:r>
      <w:r>
        <w:rPr>
          <w:rStyle w:val="WW-Caractresdenotedebasdepage"/>
          <w:rFonts w:cs="Arial"/>
          <w:bCs/>
          <w:color w:val="000000"/>
          <w:szCs w:val="20"/>
          <w:vertAlign w:val="superscript"/>
        </w:rPr>
        <w:footnoteReference w:id="2"/>
      </w:r>
      <w:r>
        <w:rPr>
          <w:color w:val="000000"/>
        </w:rPr>
        <w:t xml:space="preserve"> ou équivalent</w:t>
      </w:r>
      <w:r>
        <w:rPr>
          <w:rStyle w:val="WW-Caractresdenotedebasdepage"/>
          <w:rFonts w:cs="Arial"/>
          <w:bCs/>
          <w:color w:val="000000"/>
          <w:szCs w:val="20"/>
        </w:rPr>
        <w:t>,</w:t>
      </w:r>
    </w:p>
    <w:p w14:paraId="02964892" w14:textId="77777777" w:rsidR="00ED1AA7" w:rsidRDefault="00ED1AA7"/>
    <w:p w14:paraId="40101117" w14:textId="1069FB5A" w:rsidR="00ED1AA7" w:rsidRDefault="00E92B35" w:rsidP="008F7EC5">
      <w:pPr>
        <w:numPr>
          <w:ilvl w:val="0"/>
          <w:numId w:val="9"/>
        </w:numPr>
      </w:pPr>
      <w:r>
        <w:rPr>
          <w:rFonts w:cs="Arial"/>
          <w:color w:val="000000"/>
          <w:szCs w:val="20"/>
        </w:rPr>
        <w:t>une attestation fiscale (attestation en ligne) en cours de validité,</w:t>
      </w:r>
    </w:p>
    <w:p w14:paraId="6F58D134" w14:textId="77777777" w:rsidR="00ED1AA7" w:rsidRDefault="00ED1AA7"/>
    <w:p w14:paraId="3D5E9BC5" w14:textId="77777777" w:rsidR="00ED1AA7" w:rsidRDefault="00E92B35" w:rsidP="008F7EC5">
      <w:pPr>
        <w:numPr>
          <w:ilvl w:val="0"/>
          <w:numId w:val="9"/>
        </w:numPr>
      </w:pPr>
      <w:r>
        <w:rPr>
          <w:rFonts w:cs="Arial"/>
          <w:color w:val="000000"/>
          <w:szCs w:val="20"/>
        </w:rPr>
        <w:t>la liste nominative des salariés étrangers, précisant leur nationalité, la date d’embauche et le type et le numéro d’ordre du titre valant autorisation de travail (le cas échéant),</w:t>
      </w:r>
    </w:p>
    <w:p w14:paraId="347B28DC" w14:textId="77777777" w:rsidR="00ED1AA7" w:rsidRDefault="00ED1AA7">
      <w:pPr>
        <w:pStyle w:val="Paragraphedeliste"/>
      </w:pPr>
    </w:p>
    <w:p w14:paraId="73DB58C9" w14:textId="718185FD" w:rsidR="00ED1AA7" w:rsidRDefault="00E92B35" w:rsidP="008F7EC5">
      <w:pPr>
        <w:widowControl/>
        <w:numPr>
          <w:ilvl w:val="0"/>
          <w:numId w:val="9"/>
        </w:numPr>
      </w:pPr>
      <w:r>
        <w:t>une attestation d’assurance responsabilité civile professionnelle,</w:t>
      </w:r>
    </w:p>
    <w:p w14:paraId="713FC18D" w14:textId="77777777" w:rsidR="00ED1AA7" w:rsidRDefault="00ED1AA7"/>
    <w:p w14:paraId="2B343FF1" w14:textId="5FFB7FEA" w:rsidR="00ED1AA7" w:rsidRDefault="00E92B35" w:rsidP="008F7EC5">
      <w:pPr>
        <w:pStyle w:val="Paragraphedeliste"/>
        <w:numPr>
          <w:ilvl w:val="0"/>
          <w:numId w:val="9"/>
        </w:numPr>
        <w:tabs>
          <w:tab w:val="left" w:pos="283"/>
        </w:tabs>
        <w:rPr>
          <w:rFonts w:eastAsia="Arial" w:cs="Arial"/>
          <w:szCs w:val="20"/>
        </w:rPr>
      </w:pPr>
      <w:r>
        <w:rPr>
          <w:color w:val="000000"/>
        </w:rPr>
        <w:t xml:space="preserve">en cas de sous-traitance, une déclaration de sous-traitance signée </w:t>
      </w:r>
      <w:r>
        <w:rPr>
          <w:szCs w:val="20"/>
        </w:rPr>
        <w:t>manuscritement ou électroniquement</w:t>
      </w:r>
      <w:r>
        <w:rPr>
          <w:color w:val="000000"/>
        </w:rPr>
        <w:t xml:space="preserve"> par le soumissionnaire et le sous-traitant</w:t>
      </w:r>
      <w:r>
        <w:rPr>
          <w:szCs w:val="20"/>
        </w:rPr>
        <w:t>.</w:t>
      </w:r>
    </w:p>
    <w:p w14:paraId="1532EFE8" w14:textId="77777777" w:rsidR="00ED1AA7" w:rsidRDefault="00ED1AA7">
      <w:pPr>
        <w:widowControl/>
      </w:pPr>
    </w:p>
    <w:p w14:paraId="5E2A54DF" w14:textId="7EBA2A2A" w:rsidR="00ED1AA7" w:rsidRDefault="00E92B35">
      <w:pPr>
        <w:widowControl/>
        <w:rPr>
          <w:u w:val="single"/>
        </w:rPr>
      </w:pPr>
      <w:r>
        <w:rPr>
          <w:u w:val="single"/>
        </w:rPr>
        <w:t>Le défaut de fourniture de ces éléments dans le délai indiqué ci-dessus peut entraîner l’élimination du soumissionnaire pressenti.</w:t>
      </w:r>
    </w:p>
    <w:p w14:paraId="1906D4B1" w14:textId="77777777" w:rsidR="00ED1AA7" w:rsidRDefault="00ED1AA7">
      <w:pPr>
        <w:widowControl/>
        <w:rPr>
          <w:u w:val="single"/>
        </w:rPr>
      </w:pPr>
    </w:p>
    <w:sectPr w:rsidR="00ED1AA7">
      <w:footerReference w:type="default" r:id="rId19"/>
      <w:pgSz w:w="11906" w:h="16838"/>
      <w:pgMar w:top="1134" w:right="1134" w:bottom="1134" w:left="1134" w:header="720" w:footer="737" w:gutter="0"/>
      <w:pgBorders w:display="firstPage">
        <w:top w:val="single" w:sz="4" w:space="1" w:color="000000"/>
        <w:left w:val="single" w:sz="4" w:space="4" w:color="000000"/>
        <w:bottom w:val="single" w:sz="4" w:space="1" w:color="000000"/>
        <w:right w:val="single" w:sz="4" w:space="4" w:color="000000"/>
      </w:pgBorders>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6F0A9A" w16cex:dateUtc="2026-07-20T15:04:00Z"/>
  <w16cex:commentExtensible w16cex:durableId="4729434D" w16cex:dateUtc="2026-06-26T12:29:00Z"/>
  <w16cex:commentExtensible w16cex:durableId="1D064B40" w16cex:dateUtc="2026-06-30T06:43:00Z"/>
  <w16cex:commentExtensible w16cex:durableId="6FD020BB" w16cex:dateUtc="2026-07-20T15:12:00Z"/>
  <w16cex:commentExtensible w16cex:durableId="0F39473A" w16cex:dateUtc="2026-07-20T15:09:00Z"/>
  <w16cex:commentExtensible w16cex:durableId="0801E759" w16cex:dateUtc="2026-07-20T15:15:00Z"/>
  <w16cex:commentExtensible w16cex:durableId="5DE05F21" w16cex:dateUtc="2026-07-20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01CACF" w16cid:durableId="7201CACF"/>
  <w16cid:commentId w16cid:paraId="2ADF2A5D" w16cid:durableId="656F0A9A"/>
  <w16cid:commentId w16cid:paraId="00000003" w16cid:durableId="4729434D"/>
  <w16cid:commentId w16cid:paraId="00000004" w16cid:durableId="1D064B40"/>
  <w16cid:commentId w16cid:paraId="43C2330A" w16cid:durableId="6FD020BB"/>
  <w16cid:commentId w16cid:paraId="7C189724" w16cid:durableId="0F39473A"/>
  <w16cid:commentId w16cid:paraId="5E30BAC4" w16cid:durableId="0801E759"/>
  <w16cid:commentId w16cid:paraId="0B865280" w16cid:durableId="5DE05F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A15E5" w14:textId="77777777" w:rsidR="009E50A5" w:rsidRDefault="009E50A5">
      <w:r>
        <w:separator/>
      </w:r>
    </w:p>
  </w:endnote>
  <w:endnote w:type="continuationSeparator" w:id="0">
    <w:p w14:paraId="6A222F1E" w14:textId="77777777" w:rsidR="009E50A5" w:rsidRDefault="009E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ommercialPi BT">
    <w:charset w:val="00"/>
    <w:family w:val="auto"/>
    <w:pitch w:val="default"/>
  </w:font>
  <w:font w:name="Marianne">
    <w:altName w:val="Courier New"/>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B121A" w14:textId="68ACF576" w:rsidR="009E50A5" w:rsidRDefault="009E50A5">
    <w:pPr>
      <w:pStyle w:val="Pieddepage"/>
      <w:pBdr>
        <w:top w:val="single" w:sz="4" w:space="1" w:color="000000"/>
      </w:pBdr>
      <w:jc w:val="right"/>
    </w:pPr>
    <w:r>
      <w:t xml:space="preserve">Page </w:t>
    </w:r>
    <w:r>
      <w:fldChar w:fldCharType="begin"/>
    </w:r>
    <w:r>
      <w:instrText xml:space="preserve"> PAGE   \* MERGEFORMAT </w:instrText>
    </w:r>
    <w:r>
      <w:fldChar w:fldCharType="separate"/>
    </w:r>
    <w:r w:rsidR="007A7A93">
      <w:rPr>
        <w:noProof/>
      </w:rPr>
      <w:t>5</w:t>
    </w:r>
    <w:r>
      <w:fldChar w:fldCharType="end"/>
    </w:r>
    <w:r>
      <w:t xml:space="preserve"> sur </w:t>
    </w:r>
    <w:r>
      <w:rPr>
        <w:noProof/>
      </w:rPr>
      <w:fldChar w:fldCharType="begin"/>
    </w:r>
    <w:r>
      <w:rPr>
        <w:noProof/>
      </w:rPr>
      <w:instrText xml:space="preserve"> NUMPAGES   \* MERGEFORMAT </w:instrText>
    </w:r>
    <w:r>
      <w:rPr>
        <w:noProof/>
      </w:rPr>
      <w:fldChar w:fldCharType="separate"/>
    </w:r>
    <w:r w:rsidR="007A7A93">
      <w:rPr>
        <w:noProof/>
      </w:rPr>
      <w:t>10</w:t>
    </w:r>
    <w:r>
      <w:rPr>
        <w:noProof/>
      </w:rPr>
      <w:fldChar w:fldCharType="end"/>
    </w:r>
  </w:p>
  <w:p w14:paraId="1CA06D10" w14:textId="5C1E14AC" w:rsidR="009E50A5" w:rsidRDefault="009E50A5" w:rsidP="004631E7">
    <w:pPr>
      <w:pStyle w:val="Pieddepage"/>
      <w:jc w:val="center"/>
    </w:pPr>
    <w:r>
      <w:t>RC_26110_PLAN_SOB_POLD</w:t>
    </w:r>
  </w:p>
  <w:p w14:paraId="1406A010" w14:textId="77777777" w:rsidR="009E50A5" w:rsidRDefault="009E50A5">
    <w:pPr>
      <w:pStyle w:val="Pieddepage"/>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DC38C" w14:textId="77777777" w:rsidR="009E50A5" w:rsidRDefault="009E50A5">
      <w:r>
        <w:separator/>
      </w:r>
    </w:p>
  </w:footnote>
  <w:footnote w:type="continuationSeparator" w:id="0">
    <w:p w14:paraId="7C32BD6F" w14:textId="77777777" w:rsidR="009E50A5" w:rsidRDefault="009E50A5">
      <w:r>
        <w:continuationSeparator/>
      </w:r>
    </w:p>
  </w:footnote>
  <w:footnote w:id="1">
    <w:p w14:paraId="012DFF56" w14:textId="4F1831CA" w:rsidR="009E50A5" w:rsidRDefault="009E50A5">
      <w:pPr>
        <w:pStyle w:val="Notedebasdepage"/>
        <w:tabs>
          <w:tab w:val="left" w:pos="284"/>
        </w:tabs>
        <w:ind w:left="0" w:firstLine="0"/>
      </w:pPr>
      <w:r>
        <w:rPr>
          <w:rStyle w:val="Caractresdenotedebasdepage"/>
        </w:rPr>
        <w:footnoteRef/>
      </w:r>
      <w:r>
        <w:tab/>
        <w:t xml:space="preserve">Les formulaires DC sont téléchargeables à l'adresse suivante : </w:t>
      </w:r>
      <w:r>
        <w:rPr>
          <w:rStyle w:val="Lienhypertexte"/>
        </w:rPr>
        <w:t>https://www.economie.gouv.fr/daj/formulaires-marches-publics</w:t>
      </w:r>
      <w:r>
        <w:t>. Ils ont été remis à jour au 01/04/2019.</w:t>
      </w:r>
    </w:p>
  </w:footnote>
  <w:footnote w:id="2">
    <w:p w14:paraId="116D4A1F" w14:textId="77777777" w:rsidR="009E50A5" w:rsidRDefault="009E50A5">
      <w:pPr>
        <w:spacing w:before="120" w:after="120"/>
      </w:pPr>
      <w:r>
        <w:rPr>
          <w:rStyle w:val="Caractresdenotedebasdepage"/>
        </w:rPr>
        <w:footnoteRef/>
      </w:r>
      <w:r>
        <w:rPr>
          <w:rFonts w:cs="Arial"/>
          <w:sz w:val="18"/>
          <w:szCs w:val="18"/>
        </w:rPr>
        <w:tab/>
        <w:t xml:space="preserve"> Pour les entreprises créées postérieurement au 1</w:t>
      </w:r>
      <w:r>
        <w:rPr>
          <w:rFonts w:cs="Arial"/>
          <w:sz w:val="18"/>
          <w:szCs w:val="18"/>
          <w:vertAlign w:val="superscript"/>
        </w:rPr>
        <w:t>er</w:t>
      </w:r>
      <w:r>
        <w:rPr>
          <w:rFonts w:cs="Arial"/>
          <w:sz w:val="18"/>
          <w:szCs w:val="18"/>
        </w:rPr>
        <w:t xml:space="preserve"> janvier de l’année de lancement de la consultation, le récépissé de dépôt de déclaration auprès d’un centre de formalités des entreprises se substituera aux attestations fiscales et sociales.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BC4C5DFC"/>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FBE731C"/>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Symbol" w:hAnsi="Symbol" w:cs="Symbol"/>
        <w:sz w:val="20"/>
        <w:szCs w:val="20"/>
      </w:rPr>
    </w:lvl>
    <w:lvl w:ilvl="2">
      <w:start w:val="1"/>
      <w:numFmt w:val="bullet"/>
      <w:lvlText w:val=""/>
      <w:lvlJc w:val="left"/>
      <w:pPr>
        <w:tabs>
          <w:tab w:val="num" w:pos="1440"/>
        </w:tabs>
        <w:ind w:left="1440" w:hanging="360"/>
      </w:pPr>
      <w:rPr>
        <w:rFonts w:ascii="Symbol" w:hAnsi="Symbol" w:cs="Symbol"/>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Symbol" w:hAnsi="Symbol" w:cs="Symbol"/>
        <w:sz w:val="20"/>
        <w:szCs w:val="20"/>
      </w:rPr>
    </w:lvl>
    <w:lvl w:ilvl="5">
      <w:start w:val="1"/>
      <w:numFmt w:val="bullet"/>
      <w:lvlText w:val=""/>
      <w:lvlJc w:val="left"/>
      <w:pPr>
        <w:tabs>
          <w:tab w:val="num" w:pos="2520"/>
        </w:tabs>
        <w:ind w:left="2520" w:hanging="360"/>
      </w:pPr>
      <w:rPr>
        <w:rFonts w:ascii="Symbol" w:hAnsi="Symbol" w:cs="Symbol"/>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Symbol" w:hAnsi="Symbol" w:cs="Symbol"/>
        <w:sz w:val="20"/>
        <w:szCs w:val="20"/>
      </w:rPr>
    </w:lvl>
    <w:lvl w:ilvl="8">
      <w:start w:val="1"/>
      <w:numFmt w:val="bullet"/>
      <w:lvlText w:val=""/>
      <w:lvlJc w:val="left"/>
      <w:pPr>
        <w:tabs>
          <w:tab w:val="num" w:pos="3600"/>
        </w:tabs>
        <w:ind w:left="3600" w:hanging="360"/>
      </w:pPr>
      <w:rPr>
        <w:rFonts w:ascii="Symbol" w:hAnsi="Symbol" w:cs="Symbol"/>
        <w:sz w:val="20"/>
        <w:szCs w:val="20"/>
      </w:rPr>
    </w:lvl>
  </w:abstractNum>
  <w:abstractNum w:abstractNumId="2" w15:restartNumberingAfterBreak="0">
    <w:nsid w:val="06BB63B2"/>
    <w:multiLevelType w:val="hybridMultilevel"/>
    <w:tmpl w:val="B00AE92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ADD0120"/>
    <w:multiLevelType w:val="hybridMultilevel"/>
    <w:tmpl w:val="B27AA43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1B2644CC"/>
    <w:multiLevelType w:val="multilevel"/>
    <w:tmpl w:val="BB44D596"/>
    <w:lvl w:ilvl="0">
      <w:numFmt w:val="bullet"/>
      <w:lvlText w:val="-"/>
      <w:lvlJc w:val="left"/>
      <w:pPr>
        <w:ind w:left="720" w:hanging="360"/>
      </w:pPr>
      <w:rPr>
        <w:rFonts w:ascii="Arial" w:eastAsia="SimSun" w:hAnsi="Arial" w:cs="Arial" w:hint="default"/>
      </w:rPr>
    </w:lvl>
    <w:lvl w:ilvl="1">
      <w:numFmt w:val="bullet"/>
      <w:lvlText w:val="-"/>
      <w:lvlJc w:val="left"/>
      <w:pPr>
        <w:ind w:left="1440" w:hanging="360"/>
      </w:pPr>
      <w:rPr>
        <w:rFonts w:ascii="Arial" w:eastAsia="SimSu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E36410"/>
    <w:multiLevelType w:val="multilevel"/>
    <w:tmpl w:val="1494CCCA"/>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A0291D"/>
    <w:multiLevelType w:val="multilevel"/>
    <w:tmpl w:val="08E0E4BC"/>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B54426"/>
    <w:multiLevelType w:val="multilevel"/>
    <w:tmpl w:val="80469A64"/>
    <w:lvl w:ilvl="0">
      <w:start w:val="5"/>
      <w:numFmt w:val="decimal"/>
      <w:lvlText w:val="%1"/>
      <w:lvlJc w:val="left"/>
      <w:pPr>
        <w:ind w:left="435" w:hanging="435"/>
      </w:pPr>
      <w:rPr>
        <w:rFonts w:cs="Mangal" w:hint="default"/>
      </w:rPr>
    </w:lvl>
    <w:lvl w:ilvl="1">
      <w:start w:val="1"/>
      <w:numFmt w:val="decimal"/>
      <w:lvlText w:val="%1.%2"/>
      <w:lvlJc w:val="left"/>
      <w:pPr>
        <w:ind w:left="435" w:hanging="435"/>
      </w:pPr>
      <w:rPr>
        <w:rFonts w:cs="Mangal" w:hint="default"/>
      </w:rPr>
    </w:lvl>
    <w:lvl w:ilvl="2">
      <w:start w:val="1"/>
      <w:numFmt w:val="decimal"/>
      <w:lvlText w:val="%1.%2.%3"/>
      <w:lvlJc w:val="left"/>
      <w:pPr>
        <w:ind w:left="720" w:hanging="720"/>
      </w:pPr>
      <w:rPr>
        <w:rFonts w:cs="Mangal" w:hint="default"/>
      </w:rPr>
    </w:lvl>
    <w:lvl w:ilvl="3">
      <w:start w:val="1"/>
      <w:numFmt w:val="decimal"/>
      <w:lvlText w:val="%1.%2.%3.%4"/>
      <w:lvlJc w:val="left"/>
      <w:pPr>
        <w:ind w:left="720" w:hanging="720"/>
      </w:pPr>
      <w:rPr>
        <w:rFonts w:cs="Mangal" w:hint="default"/>
      </w:rPr>
    </w:lvl>
    <w:lvl w:ilvl="4">
      <w:start w:val="1"/>
      <w:numFmt w:val="decimal"/>
      <w:lvlText w:val="%1.%2.%3.%4.%5"/>
      <w:lvlJc w:val="left"/>
      <w:pPr>
        <w:ind w:left="1080" w:hanging="1080"/>
      </w:pPr>
      <w:rPr>
        <w:rFonts w:cs="Mangal" w:hint="default"/>
      </w:rPr>
    </w:lvl>
    <w:lvl w:ilvl="5">
      <w:start w:val="1"/>
      <w:numFmt w:val="decimal"/>
      <w:lvlText w:val="%1.%2.%3.%4.%5.%6"/>
      <w:lvlJc w:val="left"/>
      <w:pPr>
        <w:ind w:left="1080" w:hanging="1080"/>
      </w:pPr>
      <w:rPr>
        <w:rFonts w:cs="Mangal" w:hint="default"/>
      </w:rPr>
    </w:lvl>
    <w:lvl w:ilvl="6">
      <w:start w:val="1"/>
      <w:numFmt w:val="decimal"/>
      <w:lvlText w:val="%1.%2.%3.%4.%5.%6.%7"/>
      <w:lvlJc w:val="left"/>
      <w:pPr>
        <w:ind w:left="1440" w:hanging="1440"/>
      </w:pPr>
      <w:rPr>
        <w:rFonts w:cs="Mangal" w:hint="default"/>
      </w:rPr>
    </w:lvl>
    <w:lvl w:ilvl="7">
      <w:start w:val="1"/>
      <w:numFmt w:val="decimal"/>
      <w:lvlText w:val="%1.%2.%3.%4.%5.%6.%7.%8"/>
      <w:lvlJc w:val="left"/>
      <w:pPr>
        <w:ind w:left="1440" w:hanging="1440"/>
      </w:pPr>
      <w:rPr>
        <w:rFonts w:cs="Mangal" w:hint="default"/>
      </w:rPr>
    </w:lvl>
    <w:lvl w:ilvl="8">
      <w:start w:val="1"/>
      <w:numFmt w:val="decimal"/>
      <w:lvlText w:val="%1.%2.%3.%4.%5.%6.%7.%8.%9"/>
      <w:lvlJc w:val="left"/>
      <w:pPr>
        <w:ind w:left="1800" w:hanging="1800"/>
      </w:pPr>
      <w:rPr>
        <w:rFonts w:cs="Mangal" w:hint="default"/>
      </w:rPr>
    </w:lvl>
  </w:abstractNum>
  <w:abstractNum w:abstractNumId="8" w15:restartNumberingAfterBreak="0">
    <w:nsid w:val="339809B0"/>
    <w:multiLevelType w:val="multilevel"/>
    <w:tmpl w:val="90D0E8EC"/>
    <w:styleLink w:val="WWNum1"/>
    <w:lvl w:ilvl="0">
      <w:numFmt w:val="bullet"/>
      <w:pStyle w:val="WWNum1"/>
      <w:lvlText w:val=""/>
      <w:lvlJc w:val="left"/>
      <w:pPr>
        <w:ind w:left="835" w:hanging="360"/>
      </w:pPr>
      <w:rPr>
        <w:rFonts w:ascii="Symbol" w:eastAsia="Symbol" w:hAnsi="Symbol" w:cs="Symbol"/>
        <w:sz w:val="20"/>
        <w:szCs w:val="20"/>
      </w:rPr>
    </w:lvl>
    <w:lvl w:ilvl="1">
      <w:numFmt w:val="bullet"/>
      <w:lvlText w:val="•"/>
      <w:lvlJc w:val="left"/>
      <w:pPr>
        <w:ind w:left="1742" w:hanging="360"/>
      </w:pPr>
    </w:lvl>
    <w:lvl w:ilvl="2">
      <w:numFmt w:val="bullet"/>
      <w:lvlText w:val="•"/>
      <w:lvlJc w:val="left"/>
      <w:pPr>
        <w:ind w:left="2644" w:hanging="360"/>
      </w:pPr>
    </w:lvl>
    <w:lvl w:ilvl="3">
      <w:numFmt w:val="bullet"/>
      <w:lvlText w:val="•"/>
      <w:lvlJc w:val="left"/>
      <w:pPr>
        <w:ind w:left="3546" w:hanging="360"/>
      </w:pPr>
    </w:lvl>
    <w:lvl w:ilvl="4">
      <w:numFmt w:val="bullet"/>
      <w:lvlText w:val="•"/>
      <w:lvlJc w:val="left"/>
      <w:pPr>
        <w:ind w:left="4448" w:hanging="360"/>
      </w:pPr>
    </w:lvl>
    <w:lvl w:ilvl="5">
      <w:numFmt w:val="bullet"/>
      <w:lvlText w:val="•"/>
      <w:lvlJc w:val="left"/>
      <w:pPr>
        <w:ind w:left="5350" w:hanging="360"/>
      </w:pPr>
    </w:lvl>
    <w:lvl w:ilvl="6">
      <w:numFmt w:val="bullet"/>
      <w:lvlText w:val="•"/>
      <w:lvlJc w:val="left"/>
      <w:pPr>
        <w:ind w:left="6252" w:hanging="360"/>
      </w:pPr>
    </w:lvl>
    <w:lvl w:ilvl="7">
      <w:numFmt w:val="bullet"/>
      <w:lvlText w:val="•"/>
      <w:lvlJc w:val="left"/>
      <w:pPr>
        <w:ind w:left="7154" w:hanging="360"/>
      </w:pPr>
    </w:lvl>
    <w:lvl w:ilvl="8">
      <w:numFmt w:val="bullet"/>
      <w:lvlText w:val="•"/>
      <w:lvlJc w:val="left"/>
      <w:pPr>
        <w:ind w:left="8056" w:hanging="360"/>
      </w:pPr>
    </w:lvl>
  </w:abstractNum>
  <w:abstractNum w:abstractNumId="9" w15:restartNumberingAfterBreak="0">
    <w:nsid w:val="3E8A7606"/>
    <w:multiLevelType w:val="hybridMultilevel"/>
    <w:tmpl w:val="6666E8DA"/>
    <w:lvl w:ilvl="0" w:tplc="00000002">
      <w:start w:val="1"/>
      <w:numFmt w:val="bullet"/>
      <w:lvlText w:val="-"/>
      <w:lvlJc w:val="left"/>
      <w:pPr>
        <w:ind w:left="720" w:hanging="360"/>
      </w:pPr>
      <w:rPr>
        <w:rFonts w:ascii="Arial" w:hAnsi="Arial" w:cs="Aria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413346"/>
    <w:multiLevelType w:val="multilevel"/>
    <w:tmpl w:val="F80C87E4"/>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954CDE"/>
    <w:multiLevelType w:val="hybridMultilevel"/>
    <w:tmpl w:val="91027D6C"/>
    <w:lvl w:ilvl="0" w:tplc="CA28D90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850CDA"/>
    <w:multiLevelType w:val="multilevel"/>
    <w:tmpl w:val="995E2082"/>
    <w:lvl w:ilvl="0">
      <w:numFmt w:val="bullet"/>
      <w:lvlText w:val="–"/>
      <w:lvlJc w:val="left"/>
      <w:pPr>
        <w:ind w:left="720" w:hanging="360"/>
      </w:pPr>
      <w:rPr>
        <w:rFonts w:ascii="Arial" w:eastAsia="OpenSymbo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3B6909"/>
    <w:multiLevelType w:val="multilevel"/>
    <w:tmpl w:val="7B9A2B20"/>
    <w:styleLink w:val="WWNum2"/>
    <w:lvl w:ilvl="0">
      <w:numFmt w:val="bullet"/>
      <w:pStyle w:val="WWNum2"/>
      <w:lvlText w:val="‒"/>
      <w:lvlJc w:val="left"/>
      <w:pPr>
        <w:ind w:left="897" w:hanging="360"/>
      </w:pPr>
      <w:rPr>
        <w:rFonts w:ascii="Segoe UI" w:eastAsia="Segoe UI" w:hAnsi="Segoe UI" w:cs="Segoe UI"/>
        <w:sz w:val="20"/>
        <w:szCs w:val="20"/>
      </w:rPr>
    </w:lvl>
    <w:lvl w:ilvl="1">
      <w:numFmt w:val="bullet"/>
      <w:lvlText w:val="•"/>
      <w:lvlJc w:val="left"/>
      <w:pPr>
        <w:ind w:left="1796" w:hanging="360"/>
      </w:pPr>
    </w:lvl>
    <w:lvl w:ilvl="2">
      <w:numFmt w:val="bullet"/>
      <w:lvlText w:val="•"/>
      <w:lvlJc w:val="left"/>
      <w:pPr>
        <w:ind w:left="2692" w:hanging="360"/>
      </w:pPr>
    </w:lvl>
    <w:lvl w:ilvl="3">
      <w:numFmt w:val="bullet"/>
      <w:lvlText w:val="•"/>
      <w:lvlJc w:val="left"/>
      <w:pPr>
        <w:ind w:left="3588" w:hanging="360"/>
      </w:pPr>
    </w:lvl>
    <w:lvl w:ilvl="4">
      <w:numFmt w:val="bullet"/>
      <w:lvlText w:val="•"/>
      <w:lvlJc w:val="left"/>
      <w:pPr>
        <w:ind w:left="4484" w:hanging="360"/>
      </w:pPr>
    </w:lvl>
    <w:lvl w:ilvl="5">
      <w:numFmt w:val="bullet"/>
      <w:lvlText w:val="•"/>
      <w:lvlJc w:val="left"/>
      <w:pPr>
        <w:ind w:left="5380" w:hanging="360"/>
      </w:pPr>
    </w:lvl>
    <w:lvl w:ilvl="6">
      <w:numFmt w:val="bullet"/>
      <w:lvlText w:val="•"/>
      <w:lvlJc w:val="left"/>
      <w:pPr>
        <w:ind w:left="6276" w:hanging="360"/>
      </w:pPr>
    </w:lvl>
    <w:lvl w:ilvl="7">
      <w:numFmt w:val="bullet"/>
      <w:lvlText w:val="•"/>
      <w:lvlJc w:val="left"/>
      <w:pPr>
        <w:ind w:left="7172" w:hanging="360"/>
      </w:pPr>
    </w:lvl>
    <w:lvl w:ilvl="8">
      <w:numFmt w:val="bullet"/>
      <w:lvlText w:val="•"/>
      <w:lvlJc w:val="left"/>
      <w:pPr>
        <w:ind w:left="8068" w:hanging="360"/>
      </w:pPr>
    </w:lvl>
  </w:abstractNum>
  <w:abstractNum w:abstractNumId="14" w15:restartNumberingAfterBreak="0">
    <w:nsid w:val="4D806FD0"/>
    <w:multiLevelType w:val="multilevel"/>
    <w:tmpl w:val="D0B8A7D2"/>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8E4094"/>
    <w:multiLevelType w:val="multilevel"/>
    <w:tmpl w:val="3B4A1680"/>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055C8D"/>
    <w:multiLevelType w:val="hybridMultilevel"/>
    <w:tmpl w:val="FC48DE34"/>
    <w:lvl w:ilvl="0" w:tplc="00000002">
      <w:start w:val="1"/>
      <w:numFmt w:val="bullet"/>
      <w:lvlText w:val="-"/>
      <w:lvlJc w:val="left"/>
      <w:pPr>
        <w:ind w:left="720" w:hanging="360"/>
      </w:pPr>
      <w:rPr>
        <w:rFonts w:ascii="Arial" w:hAnsi="Arial" w:cs="Aria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9F169C"/>
    <w:multiLevelType w:val="hybridMultilevel"/>
    <w:tmpl w:val="147C3506"/>
    <w:lvl w:ilvl="0" w:tplc="00000002">
      <w:start w:val="1"/>
      <w:numFmt w:val="bullet"/>
      <w:lvlText w:val="-"/>
      <w:lvlJc w:val="left"/>
      <w:pPr>
        <w:ind w:left="720" w:hanging="360"/>
      </w:pPr>
      <w:rPr>
        <w:rFonts w:ascii="Arial" w:hAnsi="Arial" w:cs="Aria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8D50D94"/>
    <w:multiLevelType w:val="multilevel"/>
    <w:tmpl w:val="851C19B0"/>
    <w:styleLink w:val="WWNum5"/>
    <w:lvl w:ilvl="0">
      <w:numFmt w:val="bullet"/>
      <w:pStyle w:val="WWNum5"/>
      <w:lvlText w:val="‒"/>
      <w:lvlJc w:val="left"/>
      <w:pPr>
        <w:ind w:left="835" w:hanging="360"/>
      </w:pPr>
      <w:rPr>
        <w:rFonts w:ascii="Segoe UI" w:eastAsia="Segoe UI" w:hAnsi="Segoe UI" w:cs="Segoe UI"/>
        <w:sz w:val="20"/>
        <w:szCs w:val="20"/>
      </w:rPr>
    </w:lvl>
    <w:lvl w:ilvl="1">
      <w:numFmt w:val="bullet"/>
      <w:lvlText w:val="•"/>
      <w:lvlJc w:val="left"/>
      <w:pPr>
        <w:ind w:left="1742" w:hanging="360"/>
      </w:pPr>
    </w:lvl>
    <w:lvl w:ilvl="2">
      <w:numFmt w:val="bullet"/>
      <w:lvlText w:val="•"/>
      <w:lvlJc w:val="left"/>
      <w:pPr>
        <w:ind w:left="2644" w:hanging="360"/>
      </w:pPr>
    </w:lvl>
    <w:lvl w:ilvl="3">
      <w:numFmt w:val="bullet"/>
      <w:lvlText w:val="•"/>
      <w:lvlJc w:val="left"/>
      <w:pPr>
        <w:ind w:left="3546" w:hanging="360"/>
      </w:pPr>
    </w:lvl>
    <w:lvl w:ilvl="4">
      <w:numFmt w:val="bullet"/>
      <w:lvlText w:val="•"/>
      <w:lvlJc w:val="left"/>
      <w:pPr>
        <w:ind w:left="4448" w:hanging="360"/>
      </w:pPr>
    </w:lvl>
    <w:lvl w:ilvl="5">
      <w:numFmt w:val="bullet"/>
      <w:lvlText w:val="•"/>
      <w:lvlJc w:val="left"/>
      <w:pPr>
        <w:ind w:left="5350" w:hanging="360"/>
      </w:pPr>
    </w:lvl>
    <w:lvl w:ilvl="6">
      <w:numFmt w:val="bullet"/>
      <w:lvlText w:val="•"/>
      <w:lvlJc w:val="left"/>
      <w:pPr>
        <w:ind w:left="6252" w:hanging="360"/>
      </w:pPr>
    </w:lvl>
    <w:lvl w:ilvl="7">
      <w:numFmt w:val="bullet"/>
      <w:lvlText w:val="•"/>
      <w:lvlJc w:val="left"/>
      <w:pPr>
        <w:ind w:left="7154" w:hanging="360"/>
      </w:pPr>
    </w:lvl>
    <w:lvl w:ilvl="8">
      <w:numFmt w:val="bullet"/>
      <w:lvlText w:val="•"/>
      <w:lvlJc w:val="left"/>
      <w:pPr>
        <w:ind w:left="8056" w:hanging="360"/>
      </w:pPr>
    </w:lvl>
  </w:abstractNum>
  <w:num w:numId="1">
    <w:abstractNumId w:val="0"/>
  </w:num>
  <w:num w:numId="2">
    <w:abstractNumId w:val="1"/>
  </w:num>
  <w:num w:numId="3">
    <w:abstractNumId w:val="18"/>
  </w:num>
  <w:num w:numId="4">
    <w:abstractNumId w:val="13"/>
  </w:num>
  <w:num w:numId="5">
    <w:abstractNumId w:val="8"/>
  </w:num>
  <w:num w:numId="6">
    <w:abstractNumId w:val="6"/>
  </w:num>
  <w:num w:numId="7">
    <w:abstractNumId w:val="7"/>
  </w:num>
  <w:num w:numId="8">
    <w:abstractNumId w:val="5"/>
  </w:num>
  <w:num w:numId="9">
    <w:abstractNumId w:val="4"/>
  </w:num>
  <w:num w:numId="10">
    <w:abstractNumId w:val="10"/>
  </w:num>
  <w:num w:numId="11">
    <w:abstractNumId w:val="15"/>
  </w:num>
  <w:num w:numId="12">
    <w:abstractNumId w:val="14"/>
  </w:num>
  <w:num w:numId="13">
    <w:abstractNumId w:val="12"/>
  </w:num>
  <w:num w:numId="14">
    <w:abstractNumId w:val="3"/>
  </w:num>
  <w:num w:numId="15">
    <w:abstractNumId w:val="11"/>
  </w:num>
  <w:num w:numId="16">
    <w:abstractNumId w:val="9"/>
  </w:num>
  <w:num w:numId="17">
    <w:abstractNumId w:val="2"/>
  </w:num>
  <w:num w:numId="18">
    <w:abstractNumId w:val="16"/>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AA7"/>
    <w:rsid w:val="0011751A"/>
    <w:rsid w:val="002A5A26"/>
    <w:rsid w:val="00447743"/>
    <w:rsid w:val="004631E7"/>
    <w:rsid w:val="00484DCE"/>
    <w:rsid w:val="006E2A96"/>
    <w:rsid w:val="007842A6"/>
    <w:rsid w:val="007A7A93"/>
    <w:rsid w:val="007E1A5C"/>
    <w:rsid w:val="00883F67"/>
    <w:rsid w:val="00891C8E"/>
    <w:rsid w:val="008C24B6"/>
    <w:rsid w:val="008F7EC5"/>
    <w:rsid w:val="00900581"/>
    <w:rsid w:val="009C6577"/>
    <w:rsid w:val="009E50A5"/>
    <w:rsid w:val="00A66861"/>
    <w:rsid w:val="00A92532"/>
    <w:rsid w:val="00AB7EFC"/>
    <w:rsid w:val="00AC6531"/>
    <w:rsid w:val="00AC7982"/>
    <w:rsid w:val="00B63147"/>
    <w:rsid w:val="00BA6D3A"/>
    <w:rsid w:val="00C3152C"/>
    <w:rsid w:val="00E92B35"/>
    <w:rsid w:val="00ED1AA7"/>
    <w:rsid w:val="00F10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0CC17"/>
  <w15:docId w15:val="{A2D87C5F-86C1-4A7A-99E0-66B6E1505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0" w:line="240" w:lineRule="auto"/>
      <w:jc w:val="both"/>
    </w:pPr>
    <w:rPr>
      <w:rFonts w:ascii="Arial" w:eastAsia="SimSun" w:hAnsi="Arial" w:cs="Mangal"/>
      <w:sz w:val="20"/>
      <w:szCs w:val="24"/>
      <w:lang w:eastAsia="hi-IN" w:bidi="hi-IN"/>
    </w:rPr>
  </w:style>
  <w:style w:type="paragraph" w:styleId="Titre1">
    <w:name w:val="heading 1"/>
    <w:basedOn w:val="Titre10"/>
    <w:next w:val="Corpsdetexte"/>
    <w:link w:val="Titre1Car"/>
    <w:qFormat/>
    <w:pPr>
      <w:widowControl/>
      <w:numPr>
        <w:numId w:val="1"/>
      </w:numPr>
      <w:spacing w:before="0" w:after="0"/>
      <w:outlineLvl w:val="0"/>
    </w:pPr>
    <w:rPr>
      <w:b/>
      <w:bCs/>
      <w:sz w:val="20"/>
      <w:szCs w:val="32"/>
    </w:rPr>
  </w:style>
  <w:style w:type="paragraph" w:styleId="Titre2">
    <w:name w:val="heading 2"/>
    <w:basedOn w:val="Titre10"/>
    <w:next w:val="Normal"/>
    <w:link w:val="Titre2Car"/>
    <w:qFormat/>
    <w:pPr>
      <w:numPr>
        <w:ilvl w:val="1"/>
        <w:numId w:val="1"/>
      </w:numPr>
      <w:spacing w:before="0" w:after="0"/>
      <w:ind w:left="1134" w:hanging="425"/>
      <w:outlineLvl w:val="1"/>
    </w:pPr>
    <w:rPr>
      <w:b/>
      <w:bCs/>
      <w:iCs/>
      <w:sz w:val="20"/>
    </w:rPr>
  </w:style>
  <w:style w:type="paragraph" w:styleId="Titre3">
    <w:name w:val="heading 3"/>
    <w:basedOn w:val="Titre10"/>
    <w:next w:val="Normal"/>
    <w:link w:val="Titre3Car"/>
    <w:qFormat/>
    <w:pPr>
      <w:numPr>
        <w:ilvl w:val="2"/>
        <w:numId w:val="1"/>
      </w:numPr>
      <w:spacing w:before="0" w:after="0"/>
      <w:outlineLvl w:val="2"/>
    </w:pPr>
    <w:rPr>
      <w:bCs/>
      <w:i/>
      <w:sz w:val="20"/>
      <w:szCs w:val="20"/>
    </w:rPr>
  </w:style>
  <w:style w:type="paragraph" w:styleId="Titre4">
    <w:name w:val="heading 4"/>
    <w:basedOn w:val="Titre10"/>
    <w:next w:val="Corpsdetexte"/>
    <w:link w:val="Titre4Car"/>
    <w:qFormat/>
    <w:pPr>
      <w:numPr>
        <w:ilvl w:val="3"/>
        <w:numId w:val="1"/>
      </w:numPr>
      <w:outlineLvl w:val="3"/>
    </w:pPr>
    <w:rPr>
      <w:b/>
      <w:bCs/>
      <w:i/>
      <w:iCs/>
      <w:sz w:val="24"/>
      <w:szCs w:val="24"/>
    </w:rPr>
  </w:style>
  <w:style w:type="paragraph" w:styleId="Titre5">
    <w:name w:val="heading 5"/>
    <w:basedOn w:val="Titre10"/>
    <w:next w:val="Corpsdetexte"/>
    <w:link w:val="Titre5Car"/>
    <w:qFormat/>
    <w:pPr>
      <w:numPr>
        <w:ilvl w:val="4"/>
        <w:numId w:val="1"/>
      </w:numPr>
      <w:outlineLvl w:val="4"/>
    </w:pPr>
    <w:rPr>
      <w:b/>
      <w:bCs/>
      <w:sz w:val="20"/>
      <w:szCs w:val="20"/>
    </w:rPr>
  </w:style>
  <w:style w:type="paragraph" w:styleId="Titre6">
    <w:name w:val="heading 6"/>
    <w:basedOn w:val="Titre10"/>
    <w:next w:val="Corpsdetexte"/>
    <w:link w:val="Titre6Car"/>
    <w:qFormat/>
    <w:pPr>
      <w:numPr>
        <w:ilvl w:val="5"/>
        <w:numId w:val="1"/>
      </w:numPr>
      <w:outlineLvl w:val="5"/>
    </w:pPr>
    <w:rPr>
      <w:b/>
      <w:bCs/>
      <w:sz w:val="21"/>
      <w:szCs w:val="21"/>
    </w:rPr>
  </w:style>
  <w:style w:type="paragraph" w:styleId="Titre7">
    <w:name w:val="heading 7"/>
    <w:basedOn w:val="Titre10"/>
    <w:next w:val="Corpsdetexte"/>
    <w:link w:val="Titre7Car"/>
    <w:qFormat/>
    <w:pPr>
      <w:numPr>
        <w:ilvl w:val="6"/>
        <w:numId w:val="1"/>
      </w:numPr>
      <w:outlineLvl w:val="6"/>
    </w:pPr>
    <w:rPr>
      <w:b/>
      <w:bCs/>
      <w:sz w:val="21"/>
      <w:szCs w:val="21"/>
    </w:rPr>
  </w:style>
  <w:style w:type="paragraph" w:styleId="Titre8">
    <w:name w:val="heading 8"/>
    <w:basedOn w:val="Titre10"/>
    <w:next w:val="Corpsdetexte"/>
    <w:link w:val="Titre8Car"/>
    <w:qFormat/>
    <w:pPr>
      <w:numPr>
        <w:ilvl w:val="7"/>
        <w:numId w:val="1"/>
      </w:numPr>
      <w:outlineLvl w:val="7"/>
    </w:pPr>
    <w:rPr>
      <w:b/>
      <w:bCs/>
      <w:sz w:val="21"/>
      <w:szCs w:val="21"/>
    </w:rPr>
  </w:style>
  <w:style w:type="paragraph" w:styleId="Titre9">
    <w:name w:val="heading 9"/>
    <w:basedOn w:val="Titre10"/>
    <w:next w:val="Corpsdetexte"/>
    <w:link w:val="Titre9Car"/>
    <w:qFormat/>
    <w:pPr>
      <w:numPr>
        <w:ilvl w:val="8"/>
        <w:numId w:val="1"/>
      </w:numPr>
      <w:outlineLvl w:val="8"/>
    </w:pPr>
    <w:rPr>
      <w:b/>
      <w:b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2E74B5" w:themeColor="accent1" w:themeShade="BF"/>
      <w:sz w:val="40"/>
      <w:szCs w:val="40"/>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Heading3Char">
    <w:name w:val="Heading 3 Char"/>
    <w:basedOn w:val="Policepardfaut"/>
    <w:uiPriority w:val="9"/>
    <w:rPr>
      <w:rFonts w:ascii="Arial" w:eastAsia="Arial" w:hAnsi="Arial" w:cs="Arial"/>
      <w:color w:val="2E74B5" w:themeColor="accent1" w:themeShade="BF"/>
      <w:sz w:val="28"/>
      <w:szCs w:val="28"/>
    </w:rPr>
  </w:style>
  <w:style w:type="character" w:customStyle="1" w:styleId="Heading4Char">
    <w:name w:val="Heading 4 Char"/>
    <w:basedOn w:val="Policepardfaut"/>
    <w:uiPriority w:val="9"/>
    <w:rPr>
      <w:rFonts w:ascii="Arial" w:eastAsia="Arial" w:hAnsi="Arial" w:cs="Arial"/>
      <w:i/>
      <w:iCs/>
      <w:color w:val="2E74B5" w:themeColor="accent1" w:themeShade="BF"/>
    </w:rPr>
  </w:style>
  <w:style w:type="character" w:customStyle="1" w:styleId="Heading5Char">
    <w:name w:val="Heading 5 Char"/>
    <w:basedOn w:val="Policepardfaut"/>
    <w:uiPriority w:val="9"/>
    <w:rPr>
      <w:rFonts w:ascii="Arial" w:eastAsia="Arial" w:hAnsi="Arial" w:cs="Arial"/>
      <w:color w:val="2E74B5"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eastAsia="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2E74B5" w:themeColor="accent1" w:themeShade="BF"/>
    </w:rPr>
  </w:style>
  <w:style w:type="paragraph" w:styleId="Citationintense">
    <w:name w:val="Intense Quote"/>
    <w:basedOn w:val="Normal"/>
    <w:next w:val="Normal"/>
    <w:link w:val="CitationintenseC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paragraph" w:styleId="Sansinterligne">
    <w:name w:val="No Spacing"/>
    <w:basedOn w:val="Normal"/>
    <w:uiPriority w:val="1"/>
    <w:qFormat/>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rPr>
      <w:szCs w:val="20"/>
    </w:rPr>
  </w:style>
  <w:style w:type="character" w:customStyle="1" w:styleId="NotedefinCar">
    <w:name w:val="Note de fin Car"/>
    <w:basedOn w:val="Policepardfaut"/>
    <w:link w:val="Notedefin"/>
    <w:uiPriority w:val="99"/>
    <w:semiHidden/>
    <w:rPr>
      <w:sz w:val="20"/>
      <w:szCs w:val="20"/>
    </w:r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Titre1Car">
    <w:name w:val="Titre 1 Car"/>
    <w:basedOn w:val="Policepardfaut"/>
    <w:link w:val="Titre1"/>
    <w:rPr>
      <w:rFonts w:ascii="Arial" w:eastAsia="SimSun" w:hAnsi="Arial" w:cs="Mangal"/>
      <w:b/>
      <w:bCs/>
      <w:sz w:val="20"/>
      <w:szCs w:val="32"/>
      <w:lang w:eastAsia="hi-IN" w:bidi="hi-IN"/>
    </w:rPr>
  </w:style>
  <w:style w:type="character" w:customStyle="1" w:styleId="Titre2Car">
    <w:name w:val="Titre 2 Car"/>
    <w:basedOn w:val="Policepardfaut"/>
    <w:link w:val="Titre2"/>
    <w:rPr>
      <w:rFonts w:ascii="Arial" w:eastAsia="SimSun" w:hAnsi="Arial" w:cs="Mangal"/>
      <w:b/>
      <w:bCs/>
      <w:iCs/>
      <w:sz w:val="20"/>
      <w:szCs w:val="28"/>
      <w:lang w:eastAsia="hi-IN" w:bidi="hi-IN"/>
    </w:rPr>
  </w:style>
  <w:style w:type="character" w:customStyle="1" w:styleId="Titre3Car">
    <w:name w:val="Titre 3 Car"/>
    <w:basedOn w:val="Policepardfaut"/>
    <w:link w:val="Titre3"/>
    <w:rPr>
      <w:rFonts w:ascii="Arial" w:eastAsia="SimSun" w:hAnsi="Arial" w:cs="Mangal"/>
      <w:bCs/>
      <w:i/>
      <w:sz w:val="20"/>
      <w:szCs w:val="20"/>
      <w:lang w:eastAsia="hi-IN" w:bidi="hi-IN"/>
    </w:rPr>
  </w:style>
  <w:style w:type="character" w:customStyle="1" w:styleId="Titre4Car">
    <w:name w:val="Titre 4 Car"/>
    <w:basedOn w:val="Policepardfaut"/>
    <w:link w:val="Titre4"/>
    <w:rPr>
      <w:rFonts w:ascii="Arial" w:eastAsia="SimSun" w:hAnsi="Arial" w:cs="Mangal"/>
      <w:b/>
      <w:bCs/>
      <w:i/>
      <w:iCs/>
      <w:sz w:val="24"/>
      <w:szCs w:val="24"/>
      <w:lang w:eastAsia="hi-IN" w:bidi="hi-IN"/>
    </w:rPr>
  </w:style>
  <w:style w:type="character" w:customStyle="1" w:styleId="Titre5Car">
    <w:name w:val="Titre 5 Car"/>
    <w:basedOn w:val="Policepardfaut"/>
    <w:link w:val="Titre5"/>
    <w:rPr>
      <w:rFonts w:ascii="Arial" w:eastAsia="SimSun" w:hAnsi="Arial" w:cs="Mangal"/>
      <w:b/>
      <w:bCs/>
      <w:sz w:val="20"/>
      <w:szCs w:val="20"/>
      <w:lang w:eastAsia="hi-IN" w:bidi="hi-IN"/>
    </w:rPr>
  </w:style>
  <w:style w:type="character" w:customStyle="1" w:styleId="Titre6Car">
    <w:name w:val="Titre 6 Car"/>
    <w:basedOn w:val="Policepardfaut"/>
    <w:link w:val="Titre6"/>
    <w:rPr>
      <w:rFonts w:ascii="Arial" w:eastAsia="SimSun" w:hAnsi="Arial" w:cs="Mangal"/>
      <w:b/>
      <w:bCs/>
      <w:sz w:val="21"/>
      <w:szCs w:val="21"/>
      <w:lang w:eastAsia="hi-IN" w:bidi="hi-IN"/>
    </w:rPr>
  </w:style>
  <w:style w:type="character" w:customStyle="1" w:styleId="Titre7Car">
    <w:name w:val="Titre 7 Car"/>
    <w:basedOn w:val="Policepardfaut"/>
    <w:link w:val="Titre7"/>
    <w:rPr>
      <w:rFonts w:ascii="Arial" w:eastAsia="SimSun" w:hAnsi="Arial" w:cs="Mangal"/>
      <w:b/>
      <w:bCs/>
      <w:sz w:val="21"/>
      <w:szCs w:val="21"/>
      <w:lang w:eastAsia="hi-IN" w:bidi="hi-IN"/>
    </w:rPr>
  </w:style>
  <w:style w:type="character" w:customStyle="1" w:styleId="Titre8Car">
    <w:name w:val="Titre 8 Car"/>
    <w:basedOn w:val="Policepardfaut"/>
    <w:link w:val="Titre8"/>
    <w:rPr>
      <w:rFonts w:ascii="Arial" w:eastAsia="SimSun" w:hAnsi="Arial" w:cs="Mangal"/>
      <w:b/>
      <w:bCs/>
      <w:sz w:val="21"/>
      <w:szCs w:val="21"/>
      <w:lang w:eastAsia="hi-IN" w:bidi="hi-IN"/>
    </w:rPr>
  </w:style>
  <w:style w:type="character" w:customStyle="1" w:styleId="Titre9Car">
    <w:name w:val="Titre 9 Car"/>
    <w:basedOn w:val="Policepardfaut"/>
    <w:link w:val="Titre9"/>
    <w:rPr>
      <w:rFonts w:ascii="Arial" w:eastAsia="SimSun" w:hAnsi="Arial" w:cs="Mangal"/>
      <w:b/>
      <w:bCs/>
      <w:sz w:val="21"/>
      <w:szCs w:val="21"/>
      <w:lang w:eastAsia="hi-IN" w:bidi="hi-IN"/>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sz w:val="20"/>
      <w:szCs w:val="20"/>
    </w:rPr>
  </w:style>
  <w:style w:type="character" w:customStyle="1" w:styleId="WW8Num3z0">
    <w:name w:val="WW8Num3z0"/>
    <w:rPr>
      <w:rFonts w:ascii="Symbol" w:hAnsi="Symbol" w:cs="OpenSymbol"/>
      <w:shd w:val="clear" w:color="auto" w:fill="FFFF00"/>
    </w:rPr>
  </w:style>
  <w:style w:type="character" w:customStyle="1" w:styleId="WW8Num4z0">
    <w:name w:val="WW8Num4z0"/>
    <w:rPr>
      <w:rFonts w:ascii="Symbol" w:eastAsia="Arial" w:hAnsi="Symbol" w:cs="Symbol"/>
      <w:strike/>
      <w:color w:val="000000"/>
      <w:szCs w:val="20"/>
      <w:shd w:val="clear" w:color="auto" w:fill="FFFF00"/>
    </w:rPr>
  </w:style>
  <w:style w:type="character" w:customStyle="1" w:styleId="WW8Num5z0">
    <w:name w:val="WW8Num5z0"/>
    <w:rPr>
      <w:rFonts w:cs="Arial"/>
      <w:color w:val="000000"/>
      <w:sz w:val="18"/>
      <w:szCs w:val="20"/>
      <w:shd w:val="clear" w:color="auto" w:fill="FFFF00"/>
    </w:rPr>
  </w:style>
  <w:style w:type="character" w:customStyle="1" w:styleId="WW8Num5z1">
    <w:name w:val="WW8Num5z1"/>
  </w:style>
  <w:style w:type="character" w:customStyle="1" w:styleId="WW8Num5z3">
    <w:name w:val="WW8Num5z3"/>
  </w:style>
  <w:style w:type="character" w:customStyle="1" w:styleId="WW8Num6z0">
    <w:name w:val="WW8Num6z0"/>
    <w:rPr>
      <w:rFonts w:ascii="Symbol" w:eastAsia="Arial" w:hAnsi="Symbol" w:cs="OpenSymbol"/>
      <w:color w:val="000000"/>
      <w:sz w:val="20"/>
      <w:szCs w:val="20"/>
      <w:shd w:val="clear" w:color="auto" w:fill="auto"/>
    </w:rPr>
  </w:style>
  <w:style w:type="character" w:customStyle="1" w:styleId="WW8Num7z0">
    <w:name w:val="WW8Num7z0"/>
    <w:rPr>
      <w:rFonts w:cs="Arial"/>
      <w:color w:val="000000"/>
      <w:sz w:val="18"/>
      <w:szCs w:val="20"/>
      <w:shd w:val="clear" w:color="auto" w:fill="FFFF00"/>
    </w:rPr>
  </w:style>
  <w:style w:type="character" w:customStyle="1" w:styleId="WW8Num8z0">
    <w:name w:val="WW8Num8z0"/>
    <w:rPr>
      <w:rFonts w:ascii="Arial" w:eastAsia="Times New Roman" w:hAnsi="Arial" w:cs="Arial"/>
      <w:color w:val="auto"/>
      <w:sz w:val="20"/>
      <w:szCs w:val="20"/>
      <w:shd w:val="clear" w:color="auto" w:fill="FFFF00"/>
    </w:rPr>
  </w:style>
  <w:style w:type="character" w:customStyle="1" w:styleId="WW8Num9z0">
    <w:name w:val="WW8Num9z0"/>
    <w:rPr>
      <w:rFonts w:ascii="Symbol" w:eastAsia="Arial" w:hAnsi="Symbol" w:cs="OpenSymbol"/>
      <w:color w:val="000000"/>
      <w:sz w:val="20"/>
      <w:szCs w:val="20"/>
      <w:shd w:val="clear" w:color="auto" w:fill="FFFF00"/>
    </w:rPr>
  </w:style>
  <w:style w:type="character" w:customStyle="1" w:styleId="WW8Num10z0">
    <w:name w:val="WW8Num10z0"/>
    <w:rPr>
      <w:rFonts w:ascii="Segoe UI" w:eastAsia="Arial" w:hAnsi="Segoe UI" w:cs="OpenSymbol"/>
      <w:color w:val="000000"/>
      <w:sz w:val="20"/>
      <w:szCs w:val="20"/>
      <w:shd w:val="clear" w:color="auto" w:fill="FFFF00"/>
    </w:rPr>
  </w:style>
  <w:style w:type="character" w:customStyle="1" w:styleId="WW8Num11z0">
    <w:name w:val="WW8Num11z0"/>
    <w:rPr>
      <w:rFonts w:ascii="Tahoma" w:eastAsia="Arial" w:hAnsi="Tahoma" w:cs="OpenSymbol"/>
      <w:color w:val="000000"/>
      <w:sz w:val="18"/>
      <w:szCs w:val="18"/>
      <w:shd w:val="clear" w:color="auto" w:fill="FFFF00"/>
    </w:rPr>
  </w:style>
  <w:style w:type="character" w:customStyle="1" w:styleId="WW8Num12z0">
    <w:name w:val="WW8Num12z0"/>
    <w:rPr>
      <w:rFonts w:ascii="Tahoma" w:eastAsia="Arial" w:hAnsi="Tahoma" w:cs="OpenSymbol"/>
      <w:color w:val="000000"/>
      <w:sz w:val="20"/>
      <w:szCs w:val="20"/>
      <w:shd w:val="clear" w:color="auto" w:fill="FFFF00"/>
    </w:rPr>
  </w:style>
  <w:style w:type="character" w:customStyle="1" w:styleId="WW8Num13z0">
    <w:name w:val="WW8Num13z0"/>
    <w:rPr>
      <w:rFonts w:ascii="Symbol" w:hAnsi="Symbol" w:cs="OpenSymbol"/>
      <w:shd w:val="clear" w:color="auto" w:fill="FFFF00"/>
    </w:rPr>
  </w:style>
  <w:style w:type="character" w:customStyle="1" w:styleId="WW8Num14z0">
    <w:name w:val="WW8Num14z0"/>
    <w:rPr>
      <w:rFonts w:ascii="Segoe UI" w:hAnsi="Segoe UI" w:cs="OpenSymbol"/>
      <w:color w:val="000000"/>
      <w:sz w:val="18"/>
      <w:szCs w:val="18"/>
      <w:shd w:val="clear" w:color="auto" w:fill="FFFF00"/>
    </w:rPr>
  </w:style>
  <w:style w:type="character" w:customStyle="1" w:styleId="WW8Num15z0">
    <w:name w:val="WW8Num15z0"/>
    <w:rPr>
      <w:rFonts w:ascii="Symbol" w:eastAsia="Arial" w:hAnsi="Symbol" w:cs="OpenSymbol"/>
      <w:color w:val="000000"/>
      <w:sz w:val="20"/>
      <w:szCs w:val="20"/>
      <w:shd w:val="clear" w:color="auto" w:fill="FFFF00"/>
    </w:rPr>
  </w:style>
  <w:style w:type="character" w:customStyle="1" w:styleId="Policepardfaut5">
    <w:name w:val="Police par défaut5"/>
  </w:style>
  <w:style w:type="character" w:customStyle="1" w:styleId="Policepardfaut4">
    <w:name w:val="Police par défaut4"/>
  </w:style>
  <w:style w:type="character" w:customStyle="1" w:styleId="WW8Num16z0">
    <w:name w:val="WW8Num16z0"/>
    <w:rPr>
      <w:rFonts w:ascii="Symbol" w:hAnsi="Symbol" w:cs="Symbol" w:hint="default"/>
      <w:color w:val="000000"/>
      <w:szCs w:val="20"/>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eastAsia="Arial" w:hAnsi="Symbol" w:cs="Symbol" w:hint="default"/>
      <w:color w:val="000000"/>
      <w:szCs w:val="20"/>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Arial" w:eastAsia="SimSun" w:hAnsi="Arial" w:cs="Aria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OpenSymbol" w:hint="default"/>
      <w:color w:val="000000"/>
      <w:sz w:val="18"/>
      <w:szCs w:val="18"/>
      <w:shd w:val="clear" w:color="auto" w:fill="FFFF00"/>
    </w:rPr>
  </w:style>
  <w:style w:type="character" w:customStyle="1" w:styleId="WW8Num19z1">
    <w:name w:val="WW8Num19z1"/>
    <w:rPr>
      <w:rFonts w:ascii="OpenSymbol" w:hAnsi="OpenSymbol" w:cs="OpenSymbol"/>
    </w:rPr>
  </w:style>
  <w:style w:type="character" w:customStyle="1" w:styleId="WW8Num19z2">
    <w:name w:val="WW8Num19z2"/>
  </w:style>
  <w:style w:type="character" w:customStyle="1" w:styleId="WW8Num19z3">
    <w:name w:val="WW8Num19z3"/>
    <w:rPr>
      <w:rFonts w:ascii="Symbol" w:hAnsi="Symbol" w:cs="OpenSymbol"/>
    </w:rPr>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Policepardfaut3">
    <w:name w:val="Police par défaut3"/>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6z1">
    <w:name w:val="WW8Num6z1"/>
    <w:rPr>
      <w:rFonts w:ascii="Symbol" w:hAnsi="Symbol" w:cs="Arial"/>
      <w:color w:val="000000"/>
      <w:sz w:val="18"/>
      <w:szCs w:val="20"/>
      <w:shd w:val="clear" w:color="auto" w:fill="FFFF00"/>
    </w:rPr>
  </w:style>
  <w:style w:type="character" w:customStyle="1" w:styleId="WW8Num8z1">
    <w:name w:val="WW8Num8z1"/>
    <w:rPr>
      <w:rFonts w:ascii="Courier New" w:hAnsi="Courier New" w:cs="Courier New"/>
    </w:rPr>
  </w:style>
  <w:style w:type="character" w:customStyle="1" w:styleId="WW8Num8z3">
    <w:name w:val="WW8Num8z3"/>
    <w:rPr>
      <w:rFonts w:ascii="Symbol" w:hAnsi="Symbol" w:cs="Symbol"/>
    </w:rPr>
  </w:style>
  <w:style w:type="character" w:customStyle="1" w:styleId="WW8Num9z1">
    <w:name w:val="WW8Num9z1"/>
    <w:rPr>
      <w:rFonts w:ascii="OpenSymbol" w:hAnsi="OpenSymbol" w:cs="OpenSymbol"/>
    </w:rPr>
  </w:style>
  <w:style w:type="character" w:customStyle="1" w:styleId="WW8Num9z3">
    <w:name w:val="WW8Num9z3"/>
    <w:rPr>
      <w:rFonts w:ascii="Symbol" w:hAnsi="Symbol" w:cs="OpenSymbol"/>
    </w:rPr>
  </w:style>
  <w:style w:type="character" w:customStyle="1" w:styleId="WW8Num10z1">
    <w:name w:val="WW8Num10z1"/>
    <w:rPr>
      <w:rFonts w:ascii="OpenSymbol" w:hAnsi="OpenSymbol" w:cs="OpenSymbol"/>
    </w:rPr>
  </w:style>
  <w:style w:type="character" w:customStyle="1" w:styleId="WW8Num10z3">
    <w:name w:val="WW8Num10z3"/>
    <w:rPr>
      <w:rFonts w:ascii="Symbol" w:hAnsi="Symbol" w:cs="OpenSymbol"/>
    </w:rPr>
  </w:style>
  <w:style w:type="character" w:customStyle="1" w:styleId="WW8Num12z1">
    <w:name w:val="WW8Num12z1"/>
    <w:rPr>
      <w:rFonts w:ascii="OpenSymbol" w:hAnsi="OpenSymbol" w:cs="OpenSymbol"/>
    </w:rPr>
  </w:style>
  <w:style w:type="character" w:customStyle="1" w:styleId="WW8Num12z3">
    <w:name w:val="WW8Num12z3"/>
    <w:rPr>
      <w:rFonts w:ascii="Symbol" w:hAnsi="Symbol" w:cs="OpenSymbol"/>
    </w:rPr>
  </w:style>
  <w:style w:type="character" w:customStyle="1" w:styleId="WW8Num13z1">
    <w:name w:val="WW8Num13z1"/>
    <w:rPr>
      <w:rFonts w:ascii="OpenSymbol" w:hAnsi="OpenSymbol" w:cs="OpenSymbol"/>
    </w:rPr>
  </w:style>
  <w:style w:type="character" w:customStyle="1" w:styleId="WW8Num14z1">
    <w:name w:val="WW8Num14z1"/>
    <w:rPr>
      <w:rFonts w:ascii="OpenSymbol" w:hAnsi="OpenSymbol" w:cs="OpenSymbol"/>
    </w:rPr>
  </w:style>
  <w:style w:type="character" w:customStyle="1" w:styleId="WW8Num14z2">
    <w:name w:val="WW8Num14z2"/>
    <w:rPr>
      <w:rFonts w:ascii="Wingdings" w:hAnsi="Wingdings" w:cs="Wingdings" w:hint="default"/>
    </w:rPr>
  </w:style>
  <w:style w:type="character" w:customStyle="1" w:styleId="WW8Num15z1">
    <w:name w:val="WW8Num15z1"/>
    <w:rPr>
      <w:rFonts w:ascii="OpenSymbol" w:hAnsi="OpenSymbol" w:cs="OpenSymbol"/>
    </w:rPr>
  </w:style>
  <w:style w:type="character" w:customStyle="1" w:styleId="WW8Num15z2">
    <w:name w:val="WW8Num15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ascii="Symbol" w:hAnsi="Symbol" w:cs="Symbol" w:hint="default"/>
      <w:shd w:val="clear" w:color="auto" w:fill="FFFF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Policepardfaut2">
    <w:name w:val="Police par défaut2"/>
  </w:style>
  <w:style w:type="character" w:customStyle="1" w:styleId="WW8Num7z1">
    <w:name w:val="WW8Num7z1"/>
  </w:style>
  <w:style w:type="character" w:customStyle="1" w:styleId="WW8Num7z3">
    <w:name w:val="WW8Num7z3"/>
  </w:style>
  <w:style w:type="character" w:customStyle="1" w:styleId="WW8Num11z1">
    <w:name w:val="WW8Num11z1"/>
    <w:rPr>
      <w:rFonts w:ascii="OpenSymbol" w:hAnsi="OpenSymbol" w:cs="OpenSymbol"/>
    </w:rPr>
  </w:style>
  <w:style w:type="character" w:customStyle="1" w:styleId="WW8Num11z3">
    <w:name w:val="WW8Num11z3"/>
    <w:rPr>
      <w:rFonts w:ascii="Symbol" w:hAnsi="Symbol" w:cs="OpenSymbol"/>
    </w:rPr>
  </w:style>
  <w:style w:type="character" w:customStyle="1" w:styleId="Policepardfaut1">
    <w:name w:val="Police par défaut1"/>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2">
    <w:name w:val="WW8Num7z2"/>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4z3">
    <w:name w:val="WW8Num14z3"/>
    <w:rPr>
      <w:rFonts w:ascii="Symbol" w:hAnsi="Symbol" w:cs="OpenSymbol"/>
    </w:rPr>
  </w:style>
  <w:style w:type="character" w:styleId="Lienhypertexte">
    <w:name w:val="Hyperlink"/>
    <w:rPr>
      <w:color w:val="000080"/>
      <w:u w:val="single"/>
    </w:rPr>
  </w:style>
  <w:style w:type="character" w:customStyle="1" w:styleId="Caractresdenumrotation">
    <w:name w:val="Caractères de numérotation"/>
  </w:style>
  <w:style w:type="character" w:customStyle="1" w:styleId="Puces">
    <w:name w:val="Puces"/>
    <w:rPr>
      <w:rFonts w:ascii="OpenSymbol" w:eastAsia="OpenSymbol" w:hAnsi="OpenSymbol" w:cs="OpenSymbol"/>
    </w:rPr>
  </w:style>
  <w:style w:type="character" w:customStyle="1" w:styleId="Caractresdenotedebasdepage">
    <w:name w:val="Caractères de note de bas de page"/>
    <w:rPr>
      <w:vertAlign w:val="superscript"/>
    </w:rPr>
  </w:style>
  <w:style w:type="character" w:customStyle="1" w:styleId="WW-Caractresdenotedebasdepage">
    <w:name w:val="WW-Caractères de note de bas de page"/>
  </w:style>
  <w:style w:type="character" w:styleId="lev">
    <w:name w:val="Strong"/>
    <w:qFormat/>
    <w:rPr>
      <w:b/>
      <w:bCs/>
    </w:rPr>
  </w:style>
  <w:style w:type="character" w:customStyle="1" w:styleId="WW8Num28z0">
    <w:name w:val="WW8Num28z0"/>
    <w:rPr>
      <w:rFonts w:ascii="Arial" w:eastAsia="Times New Roman" w:hAnsi="Arial" w:cs="Aria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8z3">
    <w:name w:val="WW8Num28z3"/>
    <w:rPr>
      <w:rFonts w:ascii="Symbol" w:hAnsi="Symbol" w:cs="Symbol"/>
    </w:rPr>
  </w:style>
  <w:style w:type="character" w:styleId="Lienhypertextesuivivisit">
    <w:name w:val="FollowedHyperlink"/>
    <w:rPr>
      <w:color w:val="800000"/>
      <w:u w:val="single"/>
    </w:rPr>
  </w:style>
  <w:style w:type="character" w:customStyle="1" w:styleId="WW8Num8z2">
    <w:name w:val="WW8Num8z2"/>
    <w:rPr>
      <w:rFonts w:ascii="Wingdings" w:hAnsi="Wingdings" w:cs="Wingdings"/>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1">
    <w:name w:val="Appel note de bas de p.1"/>
    <w:rPr>
      <w:vertAlign w:val="superscript"/>
    </w:rPr>
  </w:style>
  <w:style w:type="character" w:styleId="Appeldenotedefin">
    <w:name w:val="endnote reference"/>
    <w:rPr>
      <w:vertAlign w:val="superscript"/>
    </w:rPr>
  </w:style>
  <w:style w:type="character" w:customStyle="1" w:styleId="TextedebullesCar">
    <w:name w:val="Texte de bulles Car"/>
    <w:rPr>
      <w:rFonts w:ascii="Segoe UI" w:eastAsia="SimSun" w:hAnsi="Segoe UI" w:cs="Mangal"/>
      <w:sz w:val="18"/>
      <w:szCs w:val="16"/>
      <w:lang w:eastAsia="hi-IN" w:bidi="hi-IN"/>
    </w:rPr>
  </w:style>
  <w:style w:type="character" w:customStyle="1" w:styleId="Appelnotedebasdep2">
    <w:name w:val="Appel note de bas de p.2"/>
    <w:rPr>
      <w:vertAlign w:val="superscript"/>
    </w:rPr>
  </w:style>
  <w:style w:type="character" w:customStyle="1" w:styleId="Marquedecommentaire1">
    <w:name w:val="Marque de commentaire1"/>
    <w:rPr>
      <w:sz w:val="16"/>
      <w:szCs w:val="16"/>
    </w:rPr>
  </w:style>
  <w:style w:type="character" w:customStyle="1" w:styleId="CommentaireCar">
    <w:name w:val="Commentaire Car"/>
    <w:rPr>
      <w:rFonts w:ascii="Arial" w:eastAsia="SimSun" w:hAnsi="Arial" w:cs="Mangal"/>
      <w:szCs w:val="18"/>
      <w:lang w:eastAsia="hi-IN" w:bidi="hi-IN"/>
    </w:rPr>
  </w:style>
  <w:style w:type="character" w:customStyle="1" w:styleId="ObjetducommentaireCar">
    <w:name w:val="Objet du commentaire Car"/>
    <w:rPr>
      <w:rFonts w:ascii="Arial" w:eastAsia="SimSun" w:hAnsi="Arial" w:cs="Mangal"/>
      <w:b/>
      <w:bCs/>
      <w:szCs w:val="18"/>
      <w:lang w:eastAsia="hi-IN" w:bidi="hi-IN"/>
    </w:rPr>
  </w:style>
  <w:style w:type="character" w:customStyle="1" w:styleId="Appelnotedebasdep3">
    <w:name w:val="Appel note de bas de p.3"/>
    <w:rPr>
      <w:vertAlign w:val="superscript"/>
    </w:rPr>
  </w:style>
  <w:style w:type="character" w:customStyle="1" w:styleId="Marquedecommentaire2">
    <w:name w:val="Marque de commentaire2"/>
    <w:rPr>
      <w:sz w:val="16"/>
      <w:szCs w:val="16"/>
    </w:rPr>
  </w:style>
  <w:style w:type="character" w:customStyle="1" w:styleId="CommentaireCar1">
    <w:name w:val="Commentaire Car1"/>
    <w:rPr>
      <w:rFonts w:ascii="Arial" w:eastAsia="SimSun" w:hAnsi="Arial" w:cs="Mangal"/>
      <w:szCs w:val="18"/>
      <w:lang w:eastAsia="hi-IN" w:bidi="hi-IN"/>
    </w:rPr>
  </w:style>
  <w:style w:type="character" w:customStyle="1" w:styleId="Appelnotedebasdep4">
    <w:name w:val="Appel note de bas de p.4"/>
    <w:rPr>
      <w:vertAlign w:val="superscript"/>
    </w:rPr>
  </w:style>
  <w:style w:type="character" w:customStyle="1" w:styleId="Marquedecommentaire3">
    <w:name w:val="Marque de commentaire3"/>
    <w:rPr>
      <w:sz w:val="16"/>
      <w:szCs w:val="16"/>
    </w:rPr>
  </w:style>
  <w:style w:type="character" w:customStyle="1" w:styleId="CommentaireCar2">
    <w:name w:val="Commentaire Car2"/>
    <w:uiPriority w:val="99"/>
    <w:rPr>
      <w:rFonts w:ascii="Arial" w:eastAsia="SimSun" w:hAnsi="Arial" w:cs="Mangal"/>
      <w:szCs w:val="18"/>
      <w:lang w:eastAsia="hi-IN" w:bidi="hi-IN"/>
    </w:rPr>
  </w:style>
  <w:style w:type="character" w:customStyle="1" w:styleId="Appelnotedebasdep5">
    <w:name w:val="Appel note de bas de p.5"/>
    <w:rPr>
      <w:vertAlign w:val="superscript"/>
    </w:rPr>
  </w:style>
  <w:style w:type="character" w:customStyle="1" w:styleId="Marquedecommentaire4">
    <w:name w:val="Marque de commentaire4"/>
    <w:rPr>
      <w:sz w:val="16"/>
      <w:szCs w:val="16"/>
    </w:rPr>
  </w:style>
  <w:style w:type="character" w:customStyle="1" w:styleId="CommentaireCar3">
    <w:name w:val="Commentaire Car3"/>
    <w:uiPriority w:val="99"/>
    <w:rPr>
      <w:rFonts w:ascii="Arial" w:eastAsia="SimSun" w:hAnsi="Arial" w:cs="Mangal"/>
      <w:szCs w:val="18"/>
      <w:lang w:eastAsia="hi-IN" w:bidi="hi-IN"/>
    </w:rPr>
  </w:style>
  <w:style w:type="character" w:styleId="Appelnotedebasdep">
    <w:name w:val="footnote reference"/>
    <w:rPr>
      <w:vertAlign w:val="superscript"/>
    </w:rPr>
  </w:style>
  <w:style w:type="paragraph" w:customStyle="1" w:styleId="Titre60">
    <w:name w:val="Titre6"/>
    <w:basedOn w:val="Normal"/>
    <w:next w:val="Corpsdetexte"/>
    <w:pPr>
      <w:keepNext/>
      <w:spacing w:before="240" w:after="120"/>
    </w:pPr>
    <w:rPr>
      <w:rFonts w:eastAsia="Microsoft YaHei"/>
      <w:sz w:val="28"/>
      <w:szCs w:val="28"/>
    </w:rPr>
  </w:style>
  <w:style w:type="paragraph" w:styleId="Corpsdetexte">
    <w:name w:val="Body Text"/>
    <w:basedOn w:val="Normal"/>
    <w:link w:val="CorpsdetexteCar"/>
    <w:pPr>
      <w:spacing w:after="120"/>
    </w:pPr>
  </w:style>
  <w:style w:type="character" w:customStyle="1" w:styleId="CorpsdetexteCar">
    <w:name w:val="Corps de texte Car"/>
    <w:basedOn w:val="Policepardfaut"/>
    <w:link w:val="Corpsdetexte"/>
    <w:rPr>
      <w:rFonts w:ascii="Arial" w:eastAsia="SimSun" w:hAnsi="Arial" w:cs="Mangal"/>
      <w:sz w:val="20"/>
      <w:szCs w:val="24"/>
      <w:lang w:eastAsia="hi-IN" w:bidi="hi-IN"/>
    </w:rPr>
  </w:style>
  <w:style w:type="paragraph" w:styleId="Liste">
    <w:name w:val="List"/>
    <w:basedOn w:val="Corpsdetexte"/>
  </w:style>
  <w:style w:type="paragraph" w:customStyle="1" w:styleId="Lgende6">
    <w:name w:val="Légende6"/>
    <w:basedOn w:val="Normal"/>
    <w:pPr>
      <w:suppressLineNumbers/>
      <w:spacing w:before="120" w:after="120"/>
    </w:pPr>
    <w:rPr>
      <w:i/>
      <w:iCs/>
      <w:sz w:val="24"/>
    </w:rPr>
  </w:style>
  <w:style w:type="paragraph" w:customStyle="1" w:styleId="Index">
    <w:name w:val="Index"/>
    <w:basedOn w:val="Normal"/>
    <w:pPr>
      <w:suppressLineNumbers/>
    </w:pPr>
  </w:style>
  <w:style w:type="paragraph" w:customStyle="1" w:styleId="Titre10">
    <w:name w:val="Titre1"/>
    <w:basedOn w:val="Normal"/>
    <w:next w:val="Corpsdetexte"/>
    <w:pPr>
      <w:keepNext/>
      <w:spacing w:before="240" w:after="120"/>
    </w:pPr>
    <w:rPr>
      <w:sz w:val="28"/>
      <w:szCs w:val="28"/>
    </w:rPr>
  </w:style>
  <w:style w:type="paragraph" w:customStyle="1" w:styleId="Titre50">
    <w:name w:val="Titre5"/>
    <w:basedOn w:val="Normal"/>
    <w:next w:val="Corpsdetexte"/>
    <w:pPr>
      <w:keepNext/>
      <w:spacing w:before="240" w:after="120"/>
    </w:pPr>
    <w:rPr>
      <w:rFonts w:eastAsia="Microsoft YaHei"/>
      <w:sz w:val="28"/>
      <w:szCs w:val="28"/>
    </w:rPr>
  </w:style>
  <w:style w:type="paragraph" w:customStyle="1" w:styleId="Lgende5">
    <w:name w:val="Légende5"/>
    <w:basedOn w:val="Normal"/>
    <w:pPr>
      <w:suppressLineNumbers/>
      <w:spacing w:before="120" w:after="120"/>
    </w:pPr>
    <w:rPr>
      <w:i/>
      <w:iCs/>
      <w:sz w:val="24"/>
    </w:rPr>
  </w:style>
  <w:style w:type="paragraph" w:customStyle="1" w:styleId="Titre40">
    <w:name w:val="Titre4"/>
    <w:basedOn w:val="Normal"/>
    <w:next w:val="Corpsdetexte"/>
    <w:pPr>
      <w:keepNext/>
      <w:spacing w:before="240" w:after="120"/>
    </w:pPr>
    <w:rPr>
      <w:rFonts w:eastAsia="Microsoft YaHei"/>
      <w:sz w:val="28"/>
      <w:szCs w:val="28"/>
    </w:rPr>
  </w:style>
  <w:style w:type="paragraph" w:customStyle="1" w:styleId="Lgende4">
    <w:name w:val="Légende4"/>
    <w:basedOn w:val="Normal"/>
    <w:pPr>
      <w:suppressLineNumbers/>
      <w:spacing w:before="120" w:after="120"/>
    </w:pPr>
    <w:rPr>
      <w:i/>
      <w:iCs/>
      <w:sz w:val="24"/>
    </w:rPr>
  </w:style>
  <w:style w:type="paragraph" w:customStyle="1" w:styleId="Titre30">
    <w:name w:val="Titre3"/>
    <w:basedOn w:val="Normal"/>
    <w:next w:val="Corpsdetexte"/>
    <w:pPr>
      <w:keepNext/>
      <w:spacing w:before="240" w:after="120"/>
    </w:pPr>
    <w:rPr>
      <w:rFonts w:eastAsia="Microsoft YaHei"/>
      <w:sz w:val="28"/>
      <w:szCs w:val="28"/>
    </w:rPr>
  </w:style>
  <w:style w:type="paragraph" w:customStyle="1" w:styleId="Lgende3">
    <w:name w:val="Légende3"/>
    <w:basedOn w:val="Normal"/>
    <w:pPr>
      <w:suppressLineNumbers/>
      <w:spacing w:before="120" w:after="120"/>
    </w:pPr>
    <w:rPr>
      <w:i/>
      <w:iCs/>
      <w:sz w:val="24"/>
    </w:rPr>
  </w:style>
  <w:style w:type="paragraph" w:customStyle="1" w:styleId="Titre20">
    <w:name w:val="Titre2"/>
    <w:basedOn w:val="Normal"/>
    <w:next w:val="Corpsdetexte"/>
    <w:pPr>
      <w:keepNext/>
      <w:spacing w:before="240" w:after="120"/>
    </w:pPr>
    <w:rPr>
      <w:rFonts w:eastAsia="Microsoft YaHei"/>
      <w:sz w:val="28"/>
      <w:szCs w:val="28"/>
    </w:rPr>
  </w:style>
  <w:style w:type="paragraph" w:customStyle="1" w:styleId="Lgende2">
    <w:name w:val="Légende2"/>
    <w:basedOn w:val="Normal"/>
    <w:pPr>
      <w:suppressLineNumbers/>
      <w:spacing w:before="120" w:after="120"/>
    </w:pPr>
    <w:rPr>
      <w:i/>
      <w:iCs/>
      <w:sz w:val="24"/>
    </w:rPr>
  </w:style>
  <w:style w:type="paragraph" w:customStyle="1" w:styleId="Lgende1">
    <w:name w:val="Légende1"/>
    <w:basedOn w:val="Normal"/>
    <w:pPr>
      <w:suppressLineNumbers/>
      <w:spacing w:before="120" w:after="120"/>
    </w:pPr>
    <w:rPr>
      <w:i/>
      <w:iCs/>
      <w:sz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rFonts w:ascii="Arial" w:eastAsia="SimSun" w:hAnsi="Arial" w:cs="Mangal"/>
      <w:sz w:val="20"/>
      <w:szCs w:val="24"/>
      <w:lang w:eastAsia="hi-IN" w:bidi="hi-IN"/>
    </w:rPr>
  </w:style>
  <w:style w:type="paragraph" w:customStyle="1" w:styleId="Corpsdetexte21">
    <w:name w:val="Corps de texte 21"/>
    <w:basedOn w:val="Normal"/>
    <w:pPr>
      <w:tabs>
        <w:tab w:val="left" w:pos="142"/>
      </w:tabs>
    </w:pPr>
    <w:rPr>
      <w:rFonts w:cs="Arial"/>
    </w:rPr>
  </w:style>
  <w:style w:type="paragraph" w:styleId="TM1">
    <w:name w:val="toc 1"/>
    <w:basedOn w:val="Index"/>
    <w:uiPriority w:val="39"/>
    <w:pPr>
      <w:tabs>
        <w:tab w:val="right" w:leader="dot" w:pos="9638"/>
      </w:tabs>
      <w:spacing w:before="85" w:after="85"/>
    </w:pPr>
    <w:rPr>
      <w:b/>
    </w:rPr>
  </w:style>
  <w:style w:type="paragraph" w:styleId="TM2">
    <w:name w:val="toc 2"/>
    <w:basedOn w:val="Index"/>
    <w:uiPriority w:val="39"/>
    <w:pPr>
      <w:tabs>
        <w:tab w:val="right" w:leader="dot" w:pos="9638"/>
      </w:tabs>
      <w:ind w:left="283"/>
    </w:pPr>
  </w:style>
  <w:style w:type="paragraph" w:styleId="NormalWeb">
    <w:name w:val="Normal (Web)"/>
    <w:basedOn w:val="Titre3"/>
    <w:pPr>
      <w:numPr>
        <w:ilvl w:val="0"/>
        <w:numId w:val="0"/>
      </w:numPr>
      <w:spacing w:before="120" w:after="120"/>
      <w:ind w:left="1134"/>
    </w:pPr>
    <w:rPr>
      <w:rFonts w:cs="Arial"/>
      <w:color w:val="333333"/>
      <w:sz w:val="22"/>
      <w:szCs w:val="22"/>
    </w:rPr>
  </w:style>
  <w:style w:type="paragraph" w:styleId="Pieddepage">
    <w:name w:val="footer"/>
    <w:basedOn w:val="Normal"/>
    <w:link w:val="PieddepageCar"/>
    <w:pPr>
      <w:suppressLineNumbers/>
      <w:tabs>
        <w:tab w:val="center" w:pos="4819"/>
        <w:tab w:val="right" w:pos="9638"/>
      </w:tabs>
      <w:spacing w:before="57"/>
    </w:pPr>
    <w:rPr>
      <w:i/>
      <w:sz w:val="18"/>
    </w:rPr>
  </w:style>
  <w:style w:type="character" w:customStyle="1" w:styleId="PieddepageCar">
    <w:name w:val="Pied de page Car"/>
    <w:basedOn w:val="Policepardfaut"/>
    <w:link w:val="Pieddepage"/>
    <w:rPr>
      <w:rFonts w:ascii="Arial" w:eastAsia="SimSun" w:hAnsi="Arial" w:cs="Mangal"/>
      <w:i/>
      <w:sz w:val="18"/>
      <w:szCs w:val="24"/>
      <w:lang w:eastAsia="hi-IN" w:bidi="hi-IN"/>
    </w:rPr>
  </w:style>
  <w:style w:type="paragraph" w:styleId="Notedebasdepage">
    <w:name w:val="footnote text"/>
    <w:basedOn w:val="Normal"/>
    <w:link w:val="NotedebasdepageCar"/>
    <w:pPr>
      <w:suppressLineNumbers/>
      <w:ind w:left="283" w:hanging="283"/>
    </w:pPr>
    <w:rPr>
      <w:sz w:val="18"/>
      <w:szCs w:val="20"/>
    </w:rPr>
  </w:style>
  <w:style w:type="character" w:customStyle="1" w:styleId="NotedebasdepageCar">
    <w:name w:val="Note de bas de page Car"/>
    <w:basedOn w:val="Policepardfaut"/>
    <w:link w:val="Notedebasdepage"/>
    <w:rPr>
      <w:rFonts w:ascii="Arial" w:eastAsia="SimSun" w:hAnsi="Arial" w:cs="Mangal"/>
      <w:sz w:val="18"/>
      <w:szCs w:val="20"/>
      <w:lang w:eastAsia="hi-IN" w:bidi="hi-IN"/>
    </w:rPr>
  </w:style>
  <w:style w:type="paragraph" w:customStyle="1" w:styleId="Notedebasdepage1">
    <w:name w:val="Note de bas de page1"/>
    <w:basedOn w:val="Normal"/>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rFonts w:ascii="Arial" w:eastAsia="SimSun" w:hAnsi="Arial" w:cs="Mangal"/>
      <w:sz w:val="20"/>
      <w:szCs w:val="24"/>
      <w:lang w:eastAsia="hi-IN" w:bidi="hi-IN"/>
    </w:rPr>
  </w:style>
  <w:style w:type="paragraph" w:customStyle="1" w:styleId="texte1">
    <w:name w:val="texte 1"/>
    <w:basedOn w:val="Normal"/>
    <w:pPr>
      <w:spacing w:before="100" w:after="100"/>
    </w:pPr>
    <w:rPr>
      <w:rFonts w:ascii="Times New Roman" w:hAnsi="Times New Roman" w:cs="Times New Roman"/>
    </w:rPr>
  </w:style>
  <w:style w:type="paragraph" w:customStyle="1" w:styleId="Sansnom1">
    <w:name w:val="Sans nom1"/>
    <w:basedOn w:val="Titre3"/>
    <w:pPr>
      <w:numPr>
        <w:ilvl w:val="0"/>
        <w:numId w:val="0"/>
      </w:numPr>
      <w:ind w:left="2324"/>
    </w:pPr>
  </w:style>
  <w:style w:type="paragraph" w:styleId="TM3">
    <w:name w:val="toc 3"/>
    <w:basedOn w:val="Index"/>
    <w:uiPriority w:val="39"/>
    <w:pPr>
      <w:tabs>
        <w:tab w:val="right" w:leader="dot" w:pos="9638"/>
      </w:tabs>
      <w:ind w:left="566"/>
    </w:pPr>
    <w:rPr>
      <w:i/>
    </w:rPr>
  </w:style>
  <w:style w:type="paragraph" w:styleId="TM4">
    <w:name w:val="toc 4"/>
    <w:basedOn w:val="Index"/>
    <w:pPr>
      <w:tabs>
        <w:tab w:val="right" w:leader="dot" w:pos="8789"/>
      </w:tabs>
      <w:ind w:left="849"/>
    </w:pPr>
  </w:style>
  <w:style w:type="paragraph" w:styleId="TM5">
    <w:name w:val="toc 5"/>
    <w:basedOn w:val="Index"/>
    <w:pPr>
      <w:tabs>
        <w:tab w:val="right" w:leader="dot" w:pos="8506"/>
      </w:tabs>
      <w:ind w:left="1132"/>
    </w:pPr>
  </w:style>
  <w:style w:type="paragraph" w:styleId="TM6">
    <w:name w:val="toc 6"/>
    <w:basedOn w:val="Index"/>
    <w:pPr>
      <w:tabs>
        <w:tab w:val="right" w:leader="dot" w:pos="8223"/>
      </w:tabs>
      <w:ind w:left="1415"/>
    </w:pPr>
  </w:style>
  <w:style w:type="paragraph" w:styleId="TM7">
    <w:name w:val="toc 7"/>
    <w:basedOn w:val="Index"/>
    <w:pPr>
      <w:tabs>
        <w:tab w:val="right" w:leader="dot" w:pos="7940"/>
      </w:tabs>
      <w:ind w:left="1698"/>
    </w:pPr>
  </w:style>
  <w:style w:type="paragraph" w:styleId="TM8">
    <w:name w:val="toc 8"/>
    <w:basedOn w:val="Index"/>
    <w:pPr>
      <w:tabs>
        <w:tab w:val="right" w:leader="dot" w:pos="7657"/>
      </w:tabs>
      <w:ind w:left="1981"/>
    </w:pPr>
  </w:style>
  <w:style w:type="paragraph" w:styleId="TM9">
    <w:name w:val="toc 9"/>
    <w:basedOn w:val="Index"/>
    <w:pPr>
      <w:tabs>
        <w:tab w:val="right" w:leader="dot" w:pos="7374"/>
      </w:tabs>
      <w:ind w:left="2264"/>
    </w:pPr>
  </w:style>
  <w:style w:type="paragraph" w:customStyle="1" w:styleId="Tabledesmatiresniveau10">
    <w:name w:val="Table des matières niveau 10"/>
    <w:basedOn w:val="Index"/>
    <w:pPr>
      <w:tabs>
        <w:tab w:val="right" w:leader="dot" w:pos="7091"/>
      </w:tabs>
      <w:ind w:left="2547"/>
    </w:pPr>
  </w:style>
  <w:style w:type="paragraph" w:styleId="Textedebulles">
    <w:name w:val="Balloon Text"/>
    <w:basedOn w:val="Normal"/>
    <w:link w:val="TextedebullesCar1"/>
    <w:rPr>
      <w:rFonts w:ascii="Segoe UI" w:hAnsi="Segoe UI" w:cs="Segoe UI"/>
      <w:sz w:val="18"/>
      <w:szCs w:val="16"/>
    </w:rPr>
  </w:style>
  <w:style w:type="character" w:customStyle="1" w:styleId="TextedebullesCar1">
    <w:name w:val="Texte de bulles Car1"/>
    <w:basedOn w:val="Policepardfaut"/>
    <w:link w:val="Textedebulles"/>
    <w:rPr>
      <w:rFonts w:ascii="Segoe UI" w:eastAsia="SimSun" w:hAnsi="Segoe UI" w:cs="Segoe UI"/>
      <w:sz w:val="18"/>
      <w:szCs w:val="16"/>
      <w:lang w:eastAsia="hi-IN" w:bidi="hi-IN"/>
    </w:rPr>
  </w:style>
  <w:style w:type="paragraph" w:customStyle="1" w:styleId="Commentaire1">
    <w:name w:val="Commentaire1"/>
    <w:basedOn w:val="Normal"/>
    <w:rPr>
      <w:szCs w:val="18"/>
    </w:rPr>
  </w:style>
  <w:style w:type="paragraph" w:styleId="Commentaire">
    <w:name w:val="annotation text"/>
    <w:basedOn w:val="Normal"/>
    <w:link w:val="CommentaireCar4"/>
    <w:uiPriority w:val="99"/>
    <w:unhideWhenUsed/>
    <w:rPr>
      <w:szCs w:val="18"/>
    </w:rPr>
  </w:style>
  <w:style w:type="character" w:customStyle="1" w:styleId="CommentaireCar4">
    <w:name w:val="Commentaire Car4"/>
    <w:basedOn w:val="Policepardfaut"/>
    <w:link w:val="Commentaire"/>
    <w:uiPriority w:val="99"/>
    <w:rPr>
      <w:rFonts w:ascii="Arial" w:eastAsia="SimSun" w:hAnsi="Arial" w:cs="Mangal"/>
      <w:sz w:val="20"/>
      <w:szCs w:val="18"/>
      <w:lang w:eastAsia="hi-IN" w:bidi="hi-IN"/>
    </w:rPr>
  </w:style>
  <w:style w:type="paragraph" w:styleId="Objetducommentaire">
    <w:name w:val="annotation subject"/>
    <w:basedOn w:val="Commentaire1"/>
    <w:next w:val="Commentaire1"/>
    <w:link w:val="ObjetducommentaireCar1"/>
    <w:rPr>
      <w:b/>
      <w:bCs/>
    </w:rPr>
  </w:style>
  <w:style w:type="character" w:customStyle="1" w:styleId="ObjetducommentaireCar1">
    <w:name w:val="Objet du commentaire Car1"/>
    <w:basedOn w:val="CommentaireCar4"/>
    <w:link w:val="Objetducommentaire"/>
    <w:rPr>
      <w:rFonts w:ascii="Arial" w:eastAsia="SimSun" w:hAnsi="Arial" w:cs="Mangal"/>
      <w:b/>
      <w:bCs/>
      <w:sz w:val="20"/>
      <w:szCs w:val="18"/>
      <w:lang w:eastAsia="hi-IN" w:bidi="hi-IN"/>
    </w:rPr>
  </w:style>
  <w:style w:type="paragraph" w:customStyle="1" w:styleId="Commentaire2">
    <w:name w:val="Commentaire2"/>
    <w:basedOn w:val="Normal"/>
    <w:rPr>
      <w:szCs w:val="18"/>
    </w:rPr>
  </w:style>
  <w:style w:type="paragraph" w:customStyle="1" w:styleId="Commentaire3">
    <w:name w:val="Commentaire3"/>
    <w:basedOn w:val="Normal"/>
    <w:rPr>
      <w:szCs w:val="18"/>
    </w:rPr>
  </w:style>
  <w:style w:type="paragraph" w:styleId="Paragraphedeliste">
    <w:name w:val="List Paragraph"/>
    <w:basedOn w:val="Normal"/>
    <w:uiPriority w:val="34"/>
    <w:qFormat/>
    <w:pPr>
      <w:ind w:left="708"/>
    </w:pPr>
  </w:style>
  <w:style w:type="paragraph" w:customStyle="1" w:styleId="WW-Standard">
    <w:name w:val="WW-Standard"/>
    <w:pPr>
      <w:widowControl w:val="0"/>
      <w:spacing w:after="0" w:line="240" w:lineRule="auto"/>
      <w:jc w:val="both"/>
    </w:pPr>
    <w:rPr>
      <w:rFonts w:ascii="Arial" w:eastAsia="SimSun" w:hAnsi="Arial" w:cs="Mangal"/>
      <w:sz w:val="20"/>
      <w:szCs w:val="24"/>
      <w:lang w:eastAsia="hi-IN" w:bidi="hi-IN"/>
    </w:rPr>
  </w:style>
  <w:style w:type="paragraph" w:customStyle="1" w:styleId="Commentaire4">
    <w:name w:val="Commentaire4"/>
    <w:basedOn w:val="Normal"/>
    <w:rPr>
      <w:szCs w:val="18"/>
    </w:rPr>
  </w:style>
  <w:style w:type="character" w:styleId="Marquedecommentaire">
    <w:name w:val="annotation reference"/>
    <w:uiPriority w:val="99"/>
    <w:semiHidden/>
    <w:unhideWhenUsed/>
    <w:rPr>
      <w:sz w:val="16"/>
      <w:szCs w:val="16"/>
    </w:rPr>
  </w:style>
  <w:style w:type="numbering" w:customStyle="1" w:styleId="WWNum5">
    <w:name w:val="WWNum5"/>
    <w:basedOn w:val="Aucuneliste"/>
    <w:pPr>
      <w:numPr>
        <w:numId w:val="3"/>
      </w:numPr>
    </w:pPr>
  </w:style>
  <w:style w:type="numbering" w:customStyle="1" w:styleId="WWNum2">
    <w:name w:val="WWNum2"/>
    <w:basedOn w:val="Aucuneliste"/>
    <w:pPr>
      <w:numPr>
        <w:numId w:val="4"/>
      </w:numPr>
    </w:pPr>
  </w:style>
  <w:style w:type="numbering" w:customStyle="1" w:styleId="WWNum1">
    <w:name w:val="WWNum1"/>
    <w:basedOn w:val="Aucuneliste"/>
    <w:pPr>
      <w:numPr>
        <w:numId w:val="5"/>
      </w:numPr>
    </w:pPr>
  </w:style>
  <w:style w:type="paragraph" w:customStyle="1" w:styleId="Default">
    <w:name w:val="Default"/>
    <w:pPr>
      <w:spacing w:after="0" w:line="240" w:lineRule="auto"/>
    </w:pPr>
    <w:rPr>
      <w:rFonts w:ascii="Arial" w:hAnsi="Arial" w:cs="Arial"/>
      <w:color w:val="000000"/>
      <w:sz w:val="24"/>
      <w:szCs w:val="24"/>
    </w:rPr>
  </w:style>
  <w:style w:type="paragraph" w:styleId="Rvision">
    <w:name w:val="Revision"/>
    <w:hidden/>
    <w:uiPriority w:val="99"/>
    <w:semiHidden/>
    <w:rsid w:val="007E1A5C"/>
    <w:pPr>
      <w:spacing w:after="0" w:line="240" w:lineRule="auto"/>
    </w:pPr>
    <w:rPr>
      <w:rFonts w:ascii="Arial" w:eastAsia="SimSun" w:hAnsi="Arial" w:cs="Mangal"/>
      <w:sz w:val="20"/>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arches.maximilien.fr/" TargetMode="External"/><Relationship Id="rId18" Type="http://schemas.openxmlformats.org/officeDocument/2006/relationships/hyperlink" Target="https://marches.maximilien.fr/?page=entreprise.EntrepriseGuide&amp;Aide"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renom.nom@mairie-rueilmalmaison.fr" TargetMode="External"/><Relationship Id="rId17" Type="http://schemas.openxmlformats.org/officeDocument/2006/relationships/hyperlink" Target="https://marches.maximilien.fr/?page=commun.DiagnosticPoste&amp;callFrom=entreprise"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marches.maximilien.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s://dume.chorus-pro.gouv.fr" TargetMode="External"/><Relationship Id="rId19" Type="http://schemas.openxmlformats.org/officeDocument/2006/relationships/footer" Target="footer1.xml"/><Relationship Id="rId4" Type="http://schemas.openxmlformats.org/officeDocument/2006/relationships/settings" Target="settings.xml"/><Relationship Id="rId14" Type="http://schemas.openxmlformats.org/officeDocument/2006/relationships/hyperlink" Target="http://www.pold.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DB9DE-BAD3-4C38-9AA2-82F8DA976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4206</Words>
  <Characters>23136</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
    </vt:vector>
  </TitlesOfParts>
  <Company>Mairie de Rueil Malmaison</Company>
  <LinksUpToDate>false</LinksUpToDate>
  <CharactersWithSpaces>27288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HOUSSAY MARIE</dc:creator>
  <cp:keywords/>
  <dc:description/>
  <cp:lastModifiedBy>Raoul NONDOH</cp:lastModifiedBy>
  <cp:revision>3</cp:revision>
  <dcterms:created xsi:type="dcterms:W3CDTF">2026-07-24T09:38:00Z</dcterms:created>
  <dcterms:modified xsi:type="dcterms:W3CDTF">2026-07-24T14:36:00Z</dcterms:modified>
</cp:coreProperties>
</file>